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984E" w14:textId="70B18604" w:rsidR="00E34915" w:rsidRPr="001D73C9" w:rsidRDefault="001D73C9" w:rsidP="001D73C9">
      <w:pPr>
        <w:jc w:val="center"/>
        <w:rPr>
          <w:rFonts w:asciiTheme="majorHAnsi" w:hAnsiTheme="majorHAnsi"/>
          <w:b/>
          <w:i/>
        </w:rPr>
      </w:pPr>
      <w:r w:rsidRPr="001D73C9">
        <w:rPr>
          <w:rFonts w:asciiTheme="majorHAnsi" w:hAnsiTheme="majorHAnsi"/>
          <w:b/>
          <w:i/>
        </w:rPr>
        <w:t>Crime and Traffic Statistics Report 2017 – Explanatory Notes and Commentary</w:t>
      </w:r>
    </w:p>
    <w:p w14:paraId="45718F8F" w14:textId="77777777" w:rsidR="00A16FA4" w:rsidRDefault="00A16FA4" w:rsidP="00E34915">
      <w:pPr>
        <w:rPr>
          <w:rFonts w:asciiTheme="majorHAnsi" w:hAnsiTheme="majorHAnsi"/>
        </w:rPr>
      </w:pPr>
    </w:p>
    <w:p w14:paraId="6E5CFC91" w14:textId="6560AD3A" w:rsidR="00E34915" w:rsidRPr="00683A09" w:rsidRDefault="00F3608B" w:rsidP="00E34915">
      <w:pPr>
        <w:rPr>
          <w:rFonts w:asciiTheme="majorHAnsi" w:hAnsiTheme="majorHAnsi"/>
          <w:b/>
        </w:rPr>
      </w:pPr>
      <w:r w:rsidRPr="00683A09">
        <w:rPr>
          <w:rFonts w:asciiTheme="majorHAnsi" w:hAnsiTheme="majorHAnsi"/>
          <w:b/>
        </w:rPr>
        <w:t>1</w:t>
      </w:r>
      <w:r w:rsidR="00E34915" w:rsidRPr="00683A09">
        <w:rPr>
          <w:rFonts w:asciiTheme="majorHAnsi" w:hAnsiTheme="majorHAnsi"/>
          <w:b/>
        </w:rPr>
        <w:t>. Introduction</w:t>
      </w:r>
    </w:p>
    <w:p w14:paraId="00523FD7" w14:textId="77777777" w:rsidR="00E34915" w:rsidRPr="00683A09" w:rsidRDefault="00E34915" w:rsidP="00E34915">
      <w:pPr>
        <w:rPr>
          <w:rFonts w:asciiTheme="majorHAnsi" w:hAnsiTheme="majorHAnsi"/>
        </w:rPr>
      </w:pPr>
    </w:p>
    <w:p w14:paraId="6E67C3A4" w14:textId="7DC179D6" w:rsidR="00E34915" w:rsidRPr="00683A09" w:rsidRDefault="00E34915" w:rsidP="00AD7547">
      <w:pPr>
        <w:jc w:val="both"/>
        <w:rPr>
          <w:rFonts w:asciiTheme="majorHAnsi" w:hAnsiTheme="majorHAnsi"/>
        </w:rPr>
      </w:pPr>
      <w:r w:rsidRPr="00683A09">
        <w:rPr>
          <w:rFonts w:asciiTheme="majorHAnsi" w:hAnsiTheme="majorHAnsi"/>
        </w:rPr>
        <w:t xml:space="preserve">The RCIPS is presenting its year-end crime statistics for 2017 </w:t>
      </w:r>
      <w:r w:rsidR="00401B7E" w:rsidRPr="00683A09">
        <w:rPr>
          <w:rFonts w:asciiTheme="majorHAnsi" w:hAnsiTheme="majorHAnsi"/>
        </w:rPr>
        <w:t xml:space="preserve">with slightly more detail </w:t>
      </w:r>
      <w:r w:rsidR="00AD02E7" w:rsidRPr="00683A09">
        <w:rPr>
          <w:rFonts w:asciiTheme="majorHAnsi" w:hAnsiTheme="majorHAnsi"/>
        </w:rPr>
        <w:t>than previous years.</w:t>
      </w:r>
      <w:r w:rsidRPr="00683A09">
        <w:rPr>
          <w:rFonts w:asciiTheme="majorHAnsi" w:hAnsiTheme="majorHAnsi"/>
        </w:rPr>
        <w:t xml:space="preserve"> </w:t>
      </w:r>
      <w:r w:rsidR="00AD02E7" w:rsidRPr="00683A09">
        <w:rPr>
          <w:rFonts w:asciiTheme="majorHAnsi" w:hAnsiTheme="majorHAnsi"/>
        </w:rPr>
        <w:t>The</w:t>
      </w:r>
      <w:r w:rsidRPr="00683A09">
        <w:rPr>
          <w:rFonts w:asciiTheme="majorHAnsi" w:hAnsiTheme="majorHAnsi"/>
        </w:rPr>
        <w:t xml:space="preserve"> objective of </w:t>
      </w:r>
      <w:r w:rsidR="00AD02E7" w:rsidRPr="00683A09">
        <w:rPr>
          <w:rFonts w:asciiTheme="majorHAnsi" w:hAnsiTheme="majorHAnsi"/>
        </w:rPr>
        <w:t xml:space="preserve">this more </w:t>
      </w:r>
      <w:r w:rsidR="00401B7E" w:rsidRPr="00683A09">
        <w:rPr>
          <w:rFonts w:asciiTheme="majorHAnsi" w:hAnsiTheme="majorHAnsi"/>
        </w:rPr>
        <w:t>comprehensive</w:t>
      </w:r>
      <w:r w:rsidR="00AD02E7" w:rsidRPr="00683A09">
        <w:rPr>
          <w:rFonts w:asciiTheme="majorHAnsi" w:hAnsiTheme="majorHAnsi"/>
        </w:rPr>
        <w:t xml:space="preserve"> reporting is to provide the public with </w:t>
      </w:r>
      <w:r w:rsidR="005E4526" w:rsidRPr="00683A09">
        <w:rPr>
          <w:rFonts w:asciiTheme="majorHAnsi" w:hAnsiTheme="majorHAnsi"/>
        </w:rPr>
        <w:t>more</w:t>
      </w:r>
      <w:r w:rsidR="00AD02E7" w:rsidRPr="00683A09">
        <w:rPr>
          <w:rFonts w:asciiTheme="majorHAnsi" w:hAnsiTheme="majorHAnsi"/>
        </w:rPr>
        <w:t xml:space="preserve"> information</w:t>
      </w:r>
      <w:r w:rsidRPr="00683A09">
        <w:rPr>
          <w:rFonts w:asciiTheme="majorHAnsi" w:hAnsiTheme="majorHAnsi"/>
        </w:rPr>
        <w:t xml:space="preserve"> on aspects of crime and enforcement that are of greater interest, while also </w:t>
      </w:r>
      <w:r w:rsidR="00AD02E7" w:rsidRPr="00683A09">
        <w:rPr>
          <w:rFonts w:asciiTheme="majorHAnsi" w:hAnsiTheme="majorHAnsi"/>
        </w:rPr>
        <w:t xml:space="preserve">representing the </w:t>
      </w:r>
      <w:r w:rsidR="00FD3162">
        <w:rPr>
          <w:rFonts w:asciiTheme="majorHAnsi" w:hAnsiTheme="majorHAnsi"/>
        </w:rPr>
        <w:t>scale and</w:t>
      </w:r>
      <w:r w:rsidR="00AD02E7" w:rsidRPr="00683A09">
        <w:rPr>
          <w:rFonts w:asciiTheme="majorHAnsi" w:hAnsiTheme="majorHAnsi"/>
        </w:rPr>
        <w:t xml:space="preserve"> scope</w:t>
      </w:r>
      <w:r w:rsidRPr="00683A09">
        <w:rPr>
          <w:rFonts w:asciiTheme="majorHAnsi" w:hAnsiTheme="majorHAnsi"/>
        </w:rPr>
        <w:t xml:space="preserve"> of the Service’s work</w:t>
      </w:r>
      <w:r w:rsidR="005E4526" w:rsidRPr="00683A09">
        <w:rPr>
          <w:rFonts w:asciiTheme="majorHAnsi" w:hAnsiTheme="majorHAnsi"/>
        </w:rPr>
        <w:t xml:space="preserve"> more completely</w:t>
      </w:r>
      <w:r w:rsidR="00401B7E" w:rsidRPr="00683A09">
        <w:rPr>
          <w:rFonts w:asciiTheme="majorHAnsi" w:hAnsiTheme="majorHAnsi"/>
        </w:rPr>
        <w:t xml:space="preserve">. Ultimately, the goal of all crime reporting </w:t>
      </w:r>
      <w:r w:rsidR="00AD7547" w:rsidRPr="00683A09">
        <w:rPr>
          <w:rFonts w:asciiTheme="majorHAnsi" w:hAnsiTheme="majorHAnsi"/>
        </w:rPr>
        <w:t>i</w:t>
      </w:r>
      <w:r w:rsidR="00780F63" w:rsidRPr="00683A09">
        <w:rPr>
          <w:rFonts w:asciiTheme="majorHAnsi" w:hAnsiTheme="majorHAnsi"/>
        </w:rPr>
        <w:t>s to</w:t>
      </w:r>
      <w:r w:rsidR="005E4526" w:rsidRPr="00683A09">
        <w:rPr>
          <w:rFonts w:asciiTheme="majorHAnsi" w:hAnsiTheme="majorHAnsi"/>
        </w:rPr>
        <w:t xml:space="preserve"> </w:t>
      </w:r>
      <w:r w:rsidR="00AD02E7" w:rsidRPr="00683A09">
        <w:rPr>
          <w:rFonts w:asciiTheme="majorHAnsi" w:hAnsiTheme="majorHAnsi"/>
        </w:rPr>
        <w:t xml:space="preserve">empower communities with meaningful and accurate information </w:t>
      </w:r>
      <w:r w:rsidR="00AD7547" w:rsidRPr="00683A09">
        <w:rPr>
          <w:rFonts w:asciiTheme="majorHAnsi" w:hAnsiTheme="majorHAnsi"/>
        </w:rPr>
        <w:t>with</w:t>
      </w:r>
      <w:r w:rsidR="00AD02E7" w:rsidRPr="00683A09">
        <w:rPr>
          <w:rFonts w:asciiTheme="majorHAnsi" w:hAnsiTheme="majorHAnsi"/>
        </w:rPr>
        <w:t xml:space="preserve"> which they can articulate their public safety priorities.</w:t>
      </w:r>
      <w:r w:rsidR="00780F63" w:rsidRPr="00683A09">
        <w:rPr>
          <w:rFonts w:asciiTheme="majorHAnsi" w:hAnsiTheme="majorHAnsi"/>
        </w:rPr>
        <w:t xml:space="preserve"> </w:t>
      </w:r>
      <w:r w:rsidR="00401B7E" w:rsidRPr="00683A09">
        <w:rPr>
          <w:rFonts w:asciiTheme="majorHAnsi" w:hAnsiTheme="majorHAnsi"/>
        </w:rPr>
        <w:t xml:space="preserve">As such, </w:t>
      </w:r>
      <w:r w:rsidR="00FB443C" w:rsidRPr="00683A09">
        <w:rPr>
          <w:rFonts w:asciiTheme="majorHAnsi" w:hAnsiTheme="majorHAnsi"/>
        </w:rPr>
        <w:t>the presentation of RCIPS annual crime and traffic statistics</w:t>
      </w:r>
      <w:r w:rsidR="00AD7547" w:rsidRPr="00683A09">
        <w:rPr>
          <w:rFonts w:asciiTheme="majorHAnsi" w:hAnsiTheme="majorHAnsi"/>
        </w:rPr>
        <w:t xml:space="preserve"> will evolve as needed</w:t>
      </w:r>
      <w:r w:rsidR="00FB443C" w:rsidRPr="00683A09">
        <w:rPr>
          <w:rFonts w:asciiTheme="majorHAnsi" w:hAnsiTheme="majorHAnsi"/>
        </w:rPr>
        <w:t xml:space="preserve"> and </w:t>
      </w:r>
      <w:r w:rsidR="00AD7547" w:rsidRPr="00683A09">
        <w:rPr>
          <w:rFonts w:asciiTheme="majorHAnsi" w:hAnsiTheme="majorHAnsi"/>
        </w:rPr>
        <w:t>in respons</w:t>
      </w:r>
      <w:r w:rsidR="00401B7E" w:rsidRPr="00683A09">
        <w:rPr>
          <w:rFonts w:asciiTheme="majorHAnsi" w:hAnsiTheme="majorHAnsi"/>
        </w:rPr>
        <w:t>e to input from variou</w:t>
      </w:r>
      <w:r w:rsidR="00FB443C" w:rsidRPr="00683A09">
        <w:rPr>
          <w:rFonts w:asciiTheme="majorHAnsi" w:hAnsiTheme="majorHAnsi"/>
        </w:rPr>
        <w:t>s sources, including the public.</w:t>
      </w:r>
      <w:r w:rsidR="00401B7E" w:rsidRPr="00683A09">
        <w:rPr>
          <w:rFonts w:asciiTheme="majorHAnsi" w:hAnsiTheme="majorHAnsi"/>
        </w:rPr>
        <w:t xml:space="preserve"> </w:t>
      </w:r>
      <w:r w:rsidR="00FD3162">
        <w:rPr>
          <w:rFonts w:asciiTheme="majorHAnsi" w:hAnsiTheme="majorHAnsi"/>
        </w:rPr>
        <w:t>This document</w:t>
      </w:r>
      <w:r w:rsidR="00FB443C" w:rsidRPr="00683A09">
        <w:rPr>
          <w:rFonts w:asciiTheme="majorHAnsi" w:hAnsiTheme="majorHAnsi"/>
        </w:rPr>
        <w:t xml:space="preserve"> aims </w:t>
      </w:r>
      <w:r w:rsidR="00401B7E" w:rsidRPr="00683A09">
        <w:rPr>
          <w:rFonts w:asciiTheme="majorHAnsi" w:hAnsiTheme="majorHAnsi"/>
        </w:rPr>
        <w:t>to provide a better understanding of crime trends in the Cayman Islands, and inform the best application of resources to address these.</w:t>
      </w:r>
    </w:p>
    <w:p w14:paraId="1DC94EB0" w14:textId="77777777" w:rsidR="00AD7547" w:rsidRPr="00683A09" w:rsidRDefault="00AD7547" w:rsidP="00AD7547">
      <w:pPr>
        <w:jc w:val="both"/>
        <w:rPr>
          <w:rFonts w:asciiTheme="majorHAnsi" w:hAnsiTheme="majorHAnsi"/>
        </w:rPr>
      </w:pPr>
    </w:p>
    <w:p w14:paraId="4EDC6B36" w14:textId="744B8A23" w:rsidR="00AD7547" w:rsidRPr="00683A09" w:rsidRDefault="001241E9" w:rsidP="00AD7547">
      <w:pPr>
        <w:jc w:val="both"/>
        <w:rPr>
          <w:rFonts w:asciiTheme="majorHAnsi" w:hAnsiTheme="majorHAnsi"/>
        </w:rPr>
      </w:pPr>
      <w:r w:rsidRPr="00683A09">
        <w:rPr>
          <w:rFonts w:asciiTheme="majorHAnsi" w:hAnsiTheme="majorHAnsi"/>
        </w:rPr>
        <w:t xml:space="preserve">Going forward, the RCIPS will publish crime statistics on an annual basis.  The statistics will be provided within three months </w:t>
      </w:r>
      <w:r w:rsidR="00BB42B2" w:rsidRPr="00683A09">
        <w:rPr>
          <w:rFonts w:asciiTheme="majorHAnsi" w:hAnsiTheme="majorHAnsi"/>
        </w:rPr>
        <w:t>after</w:t>
      </w:r>
      <w:r w:rsidRPr="00683A09">
        <w:rPr>
          <w:rFonts w:asciiTheme="majorHAnsi" w:hAnsiTheme="majorHAnsi"/>
        </w:rPr>
        <w:t xml:space="preserve"> the end </w:t>
      </w:r>
      <w:r w:rsidR="00BB42B2" w:rsidRPr="00683A09">
        <w:rPr>
          <w:rFonts w:asciiTheme="majorHAnsi" w:hAnsiTheme="majorHAnsi"/>
        </w:rPr>
        <w:t>of the year, to allow for outstanding reports and data to be fully collected and incorporated.</w:t>
      </w:r>
    </w:p>
    <w:p w14:paraId="10FF4965" w14:textId="77777777" w:rsidR="00BB42B2" w:rsidRPr="00683A09" w:rsidRDefault="00BB42B2" w:rsidP="00AD7547">
      <w:pPr>
        <w:jc w:val="both"/>
        <w:rPr>
          <w:rFonts w:asciiTheme="majorHAnsi" w:hAnsiTheme="majorHAnsi"/>
        </w:rPr>
      </w:pPr>
    </w:p>
    <w:p w14:paraId="2CAF51BA" w14:textId="5E76BDDC" w:rsidR="00BB42B2" w:rsidRPr="00683A09" w:rsidRDefault="00F3608B" w:rsidP="00AD7547">
      <w:pPr>
        <w:jc w:val="both"/>
        <w:rPr>
          <w:rFonts w:asciiTheme="majorHAnsi" w:hAnsiTheme="majorHAnsi"/>
          <w:b/>
        </w:rPr>
      </w:pPr>
      <w:r w:rsidRPr="00683A09">
        <w:rPr>
          <w:rFonts w:asciiTheme="majorHAnsi" w:hAnsiTheme="majorHAnsi"/>
          <w:b/>
        </w:rPr>
        <w:t>2</w:t>
      </w:r>
      <w:r w:rsidR="00B468E1" w:rsidRPr="00683A09">
        <w:rPr>
          <w:rFonts w:asciiTheme="majorHAnsi" w:hAnsiTheme="majorHAnsi"/>
          <w:b/>
        </w:rPr>
        <w:t xml:space="preserve">. </w:t>
      </w:r>
      <w:r w:rsidR="005312F3" w:rsidRPr="00683A09">
        <w:rPr>
          <w:rFonts w:asciiTheme="majorHAnsi" w:hAnsiTheme="majorHAnsi"/>
          <w:b/>
        </w:rPr>
        <w:t xml:space="preserve">Scope of </w:t>
      </w:r>
      <w:r w:rsidR="00E86B1D" w:rsidRPr="00683A09">
        <w:rPr>
          <w:rFonts w:asciiTheme="majorHAnsi" w:hAnsiTheme="majorHAnsi"/>
          <w:b/>
        </w:rPr>
        <w:t>Policing Duties and Incidence of Crime</w:t>
      </w:r>
    </w:p>
    <w:p w14:paraId="63DFA0DF" w14:textId="77777777" w:rsidR="005312F3" w:rsidRPr="00683A09" w:rsidRDefault="005312F3" w:rsidP="00AD7547">
      <w:pPr>
        <w:jc w:val="both"/>
        <w:rPr>
          <w:rFonts w:asciiTheme="majorHAnsi" w:hAnsiTheme="majorHAnsi"/>
        </w:rPr>
      </w:pPr>
    </w:p>
    <w:p w14:paraId="4185DA4B" w14:textId="2114350F" w:rsidR="005312F3" w:rsidRPr="00683A09" w:rsidRDefault="00820995" w:rsidP="00AD7547">
      <w:pPr>
        <w:jc w:val="both"/>
        <w:rPr>
          <w:rFonts w:asciiTheme="majorHAnsi" w:hAnsiTheme="majorHAnsi"/>
        </w:rPr>
      </w:pPr>
      <w:r w:rsidRPr="00683A09">
        <w:rPr>
          <w:rFonts w:asciiTheme="majorHAnsi" w:hAnsiTheme="majorHAnsi"/>
        </w:rPr>
        <w:t>It is important to note</w:t>
      </w:r>
      <w:r w:rsidR="005312F3" w:rsidRPr="00683A09">
        <w:rPr>
          <w:rFonts w:asciiTheme="majorHAnsi" w:hAnsiTheme="majorHAnsi"/>
        </w:rPr>
        <w:t xml:space="preserve"> that crime </w:t>
      </w:r>
      <w:r w:rsidR="00B944EE" w:rsidRPr="00683A09">
        <w:rPr>
          <w:rFonts w:asciiTheme="majorHAnsi" w:hAnsiTheme="majorHAnsi"/>
        </w:rPr>
        <w:t>and traffic statistics</w:t>
      </w:r>
      <w:r w:rsidRPr="00683A09">
        <w:rPr>
          <w:rFonts w:asciiTheme="majorHAnsi" w:hAnsiTheme="majorHAnsi"/>
        </w:rPr>
        <w:t xml:space="preserve"> reflect only</w:t>
      </w:r>
      <w:r w:rsidR="005312F3" w:rsidRPr="00683A09">
        <w:rPr>
          <w:rFonts w:asciiTheme="majorHAnsi" w:hAnsiTheme="majorHAnsi"/>
        </w:rPr>
        <w:t xml:space="preserve"> </w:t>
      </w:r>
      <w:r w:rsidRPr="00683A09">
        <w:rPr>
          <w:rFonts w:asciiTheme="majorHAnsi" w:hAnsiTheme="majorHAnsi"/>
        </w:rPr>
        <w:t>a subset of the</w:t>
      </w:r>
      <w:r w:rsidR="005312F3" w:rsidRPr="00683A09">
        <w:rPr>
          <w:rFonts w:asciiTheme="majorHAnsi" w:hAnsiTheme="majorHAnsi"/>
        </w:rPr>
        <w:t xml:space="preserve"> </w:t>
      </w:r>
      <w:r w:rsidRPr="00683A09">
        <w:rPr>
          <w:rFonts w:asciiTheme="majorHAnsi" w:hAnsiTheme="majorHAnsi"/>
        </w:rPr>
        <w:t>workload</w:t>
      </w:r>
      <w:r w:rsidR="005312F3" w:rsidRPr="00683A09">
        <w:rPr>
          <w:rFonts w:asciiTheme="majorHAnsi" w:hAnsiTheme="majorHAnsi"/>
        </w:rPr>
        <w:t xml:space="preserve"> of </w:t>
      </w:r>
      <w:r w:rsidR="005F323C" w:rsidRPr="00683A09">
        <w:rPr>
          <w:rFonts w:asciiTheme="majorHAnsi" w:hAnsiTheme="majorHAnsi"/>
        </w:rPr>
        <w:t>the RCIPS</w:t>
      </w:r>
      <w:r w:rsidR="005312F3" w:rsidRPr="00683A09">
        <w:rPr>
          <w:rFonts w:asciiTheme="majorHAnsi" w:hAnsiTheme="majorHAnsi"/>
        </w:rPr>
        <w:t xml:space="preserve">.  </w:t>
      </w:r>
      <w:r w:rsidR="005F323C" w:rsidRPr="00683A09">
        <w:rPr>
          <w:rFonts w:asciiTheme="majorHAnsi" w:hAnsiTheme="majorHAnsi"/>
        </w:rPr>
        <w:t>Officers</w:t>
      </w:r>
      <w:r w:rsidR="005312F3" w:rsidRPr="00683A09">
        <w:rPr>
          <w:rFonts w:asciiTheme="majorHAnsi" w:hAnsiTheme="majorHAnsi"/>
        </w:rPr>
        <w:t xml:space="preserve"> </w:t>
      </w:r>
      <w:r w:rsidRPr="00683A09">
        <w:rPr>
          <w:rFonts w:asciiTheme="majorHAnsi" w:hAnsiTheme="majorHAnsi"/>
        </w:rPr>
        <w:t xml:space="preserve">proactively patrol and </w:t>
      </w:r>
      <w:r w:rsidR="005312F3" w:rsidRPr="00683A09">
        <w:rPr>
          <w:rFonts w:asciiTheme="majorHAnsi" w:hAnsiTheme="majorHAnsi"/>
        </w:rPr>
        <w:t xml:space="preserve">respond to a variety of incidents, including medical emergencies, search and rescue, suspicious activity reports, false alarms and others, the </w:t>
      </w:r>
      <w:r w:rsidR="00B944EE" w:rsidRPr="00683A09">
        <w:rPr>
          <w:rFonts w:asciiTheme="majorHAnsi" w:hAnsiTheme="majorHAnsi"/>
        </w:rPr>
        <w:t xml:space="preserve">overwhelming </w:t>
      </w:r>
      <w:r w:rsidR="005312F3" w:rsidRPr="00683A09">
        <w:rPr>
          <w:rFonts w:asciiTheme="majorHAnsi" w:hAnsiTheme="majorHAnsi"/>
        </w:rPr>
        <w:t xml:space="preserve">majority of which are never recorded as a crime.  </w:t>
      </w:r>
      <w:r w:rsidR="00D67E08">
        <w:rPr>
          <w:rFonts w:asciiTheme="majorHAnsi" w:hAnsiTheme="majorHAnsi"/>
        </w:rPr>
        <w:t>Graph</w:t>
      </w:r>
      <w:r w:rsidR="005312F3" w:rsidRPr="00683A09">
        <w:rPr>
          <w:rFonts w:asciiTheme="majorHAnsi" w:hAnsiTheme="majorHAnsi"/>
        </w:rPr>
        <w:t xml:space="preserve"> 1 provides a sense of the </w:t>
      </w:r>
      <w:r w:rsidR="00B560D8" w:rsidRPr="00683A09">
        <w:rPr>
          <w:rFonts w:asciiTheme="majorHAnsi" w:hAnsiTheme="majorHAnsi"/>
        </w:rPr>
        <w:t xml:space="preserve">overall </w:t>
      </w:r>
      <w:r w:rsidR="00C96B6F" w:rsidRPr="00683A09">
        <w:rPr>
          <w:rFonts w:asciiTheme="majorHAnsi" w:hAnsiTheme="majorHAnsi"/>
        </w:rPr>
        <w:t>workload</w:t>
      </w:r>
      <w:r w:rsidR="005312F3" w:rsidRPr="00683A09">
        <w:rPr>
          <w:rFonts w:asciiTheme="majorHAnsi" w:hAnsiTheme="majorHAnsi"/>
        </w:rPr>
        <w:t xml:space="preserve"> of RCIPS’ frontline policing, which </w:t>
      </w:r>
      <w:r w:rsidR="00C96B6F" w:rsidRPr="00683A09">
        <w:rPr>
          <w:rFonts w:asciiTheme="majorHAnsi" w:hAnsiTheme="majorHAnsi"/>
        </w:rPr>
        <w:t>includes Calls for Service dispatched by the 9-1-1 Communications Centre,</w:t>
      </w:r>
      <w:r w:rsidR="00993EF4" w:rsidRPr="00683A09">
        <w:rPr>
          <w:rStyle w:val="FootnoteReference"/>
          <w:rFonts w:asciiTheme="majorHAnsi" w:hAnsiTheme="majorHAnsi"/>
        </w:rPr>
        <w:footnoteReference w:id="1"/>
      </w:r>
      <w:r w:rsidR="00C96B6F" w:rsidRPr="00683A09">
        <w:rPr>
          <w:rFonts w:asciiTheme="majorHAnsi" w:hAnsiTheme="majorHAnsi"/>
        </w:rPr>
        <w:t xml:space="preserve"> but also non-emergency calls received by police stations.</w:t>
      </w:r>
      <w:r w:rsidR="00C96B6F" w:rsidRPr="00683A09">
        <w:rPr>
          <w:rStyle w:val="FootnoteReference"/>
          <w:rFonts w:asciiTheme="majorHAnsi" w:hAnsiTheme="majorHAnsi"/>
        </w:rPr>
        <w:footnoteReference w:id="2"/>
      </w:r>
    </w:p>
    <w:p w14:paraId="52B0DD11" w14:textId="77777777" w:rsidR="00B560D8" w:rsidRPr="00683A09" w:rsidRDefault="00B560D8" w:rsidP="00AD7547">
      <w:pPr>
        <w:jc w:val="both"/>
        <w:rPr>
          <w:rFonts w:asciiTheme="majorHAnsi" w:hAnsiTheme="majorHAnsi"/>
        </w:rPr>
      </w:pPr>
    </w:p>
    <w:p w14:paraId="6842B58E" w14:textId="71D0CD2A" w:rsidR="008E3F96" w:rsidRPr="00632B01" w:rsidRDefault="00C42FCA" w:rsidP="00AD7547">
      <w:pPr>
        <w:jc w:val="both"/>
        <w:rPr>
          <w:rFonts w:asciiTheme="majorHAnsi" w:hAnsiTheme="majorHAnsi"/>
          <w:i/>
          <w:sz w:val="22"/>
          <w:szCs w:val="22"/>
        </w:rPr>
      </w:pPr>
      <w:r>
        <w:rPr>
          <w:rFonts w:asciiTheme="majorHAnsi" w:hAnsiTheme="majorHAnsi"/>
          <w:i/>
          <w:sz w:val="22"/>
          <w:szCs w:val="22"/>
        </w:rPr>
        <w:t>Graph</w:t>
      </w:r>
      <w:r w:rsidR="008E3F96" w:rsidRPr="00632B01">
        <w:rPr>
          <w:rFonts w:asciiTheme="majorHAnsi" w:hAnsiTheme="majorHAnsi"/>
          <w:i/>
          <w:sz w:val="22"/>
          <w:szCs w:val="22"/>
        </w:rPr>
        <w:t xml:space="preserve"> 1: Overall RCIPS Calls for Service, 2015-2017</w:t>
      </w:r>
    </w:p>
    <w:p w14:paraId="5288C7A6" w14:textId="77777777" w:rsidR="00F3608B" w:rsidRPr="00683A09" w:rsidRDefault="00F3608B" w:rsidP="00AD7547">
      <w:pPr>
        <w:jc w:val="both"/>
        <w:rPr>
          <w:rFonts w:asciiTheme="majorHAnsi" w:hAnsiTheme="majorHAnsi"/>
          <w:i/>
        </w:rPr>
      </w:pPr>
    </w:p>
    <w:p w14:paraId="56FBED30" w14:textId="01B7A8AF" w:rsidR="00993EF4" w:rsidRPr="00683A09" w:rsidRDefault="00C42FCA" w:rsidP="00AD7547">
      <w:pPr>
        <w:jc w:val="both"/>
        <w:rPr>
          <w:rFonts w:asciiTheme="majorHAnsi" w:hAnsiTheme="majorHAnsi"/>
        </w:rPr>
      </w:pPr>
      <w:r w:rsidRPr="00683A09">
        <w:rPr>
          <w:rFonts w:asciiTheme="majorHAnsi" w:hAnsiTheme="majorHAnsi"/>
          <w:noProof/>
          <w:lang w:val="en-GB" w:eastAsia="en-GB"/>
        </w:rPr>
        <w:drawing>
          <wp:inline distT="0" distB="0" distL="0" distR="0" wp14:anchorId="7DCEE323" wp14:editId="526A47C0">
            <wp:extent cx="4076700" cy="1876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D67107" w14:textId="77777777" w:rsidR="00B468E1" w:rsidRPr="00683A09" w:rsidRDefault="00B468E1" w:rsidP="00AD7547">
      <w:pPr>
        <w:jc w:val="both"/>
        <w:rPr>
          <w:rFonts w:asciiTheme="majorHAnsi" w:hAnsiTheme="majorHAnsi"/>
        </w:rPr>
      </w:pPr>
    </w:p>
    <w:p w14:paraId="69A40F87" w14:textId="77777777" w:rsidR="008E3F96" w:rsidRPr="00683A09" w:rsidRDefault="008E3F96" w:rsidP="008E3F96">
      <w:pPr>
        <w:jc w:val="both"/>
        <w:rPr>
          <w:rFonts w:asciiTheme="majorHAnsi" w:hAnsiTheme="majorHAnsi"/>
        </w:rPr>
      </w:pPr>
    </w:p>
    <w:p w14:paraId="2682BBEC" w14:textId="4434052A" w:rsidR="008E3F96" w:rsidRPr="00AF675E" w:rsidRDefault="008E3F96" w:rsidP="00C42FCA">
      <w:pPr>
        <w:pStyle w:val="Content"/>
        <w:framePr w:hSpace="0" w:wrap="auto" w:vAnchor="margin" w:hAnchor="text" w:yAlign="inline"/>
        <w:rPr>
          <w:rFonts w:asciiTheme="majorHAnsi" w:eastAsiaTheme="minorHAnsi" w:hAnsiTheme="majorHAnsi"/>
          <w:color w:val="auto"/>
          <w:sz w:val="24"/>
          <w:szCs w:val="24"/>
        </w:rPr>
      </w:pPr>
      <w:r w:rsidRPr="00AF675E">
        <w:rPr>
          <w:rFonts w:asciiTheme="majorHAnsi" w:eastAsiaTheme="minorHAnsi" w:hAnsiTheme="majorHAnsi"/>
          <w:color w:val="auto"/>
          <w:sz w:val="24"/>
          <w:szCs w:val="24"/>
        </w:rPr>
        <w:t xml:space="preserve">There were </w:t>
      </w:r>
      <w:r w:rsidRPr="00AF675E">
        <w:rPr>
          <w:rFonts w:asciiTheme="majorHAnsi" w:eastAsiaTheme="minorHAnsi" w:hAnsiTheme="majorHAnsi"/>
          <w:b/>
          <w:color w:val="auto"/>
          <w:sz w:val="24"/>
          <w:szCs w:val="24"/>
        </w:rPr>
        <w:t>31,685</w:t>
      </w:r>
      <w:r w:rsidRPr="00AF675E">
        <w:rPr>
          <w:rFonts w:asciiTheme="majorHAnsi" w:eastAsiaTheme="minorHAnsi" w:hAnsiTheme="majorHAnsi"/>
          <w:color w:val="auto"/>
          <w:sz w:val="24"/>
          <w:szCs w:val="24"/>
        </w:rPr>
        <w:t xml:space="preserve"> calls for service in 2017, 34,520 in 2016 and 33,474 in 2015. The graph compares the last three years </w:t>
      </w:r>
      <w:r w:rsidR="00683A09" w:rsidRPr="00AF675E">
        <w:rPr>
          <w:rFonts w:asciiTheme="majorHAnsi" w:eastAsiaTheme="minorHAnsi" w:hAnsiTheme="majorHAnsi"/>
          <w:color w:val="auto"/>
          <w:sz w:val="24"/>
          <w:szCs w:val="24"/>
        </w:rPr>
        <w:t>by quarter</w:t>
      </w:r>
      <w:r w:rsidR="00C42FCA" w:rsidRPr="00AF675E">
        <w:rPr>
          <w:rFonts w:asciiTheme="majorHAnsi" w:eastAsiaTheme="minorHAnsi" w:hAnsiTheme="majorHAnsi"/>
          <w:color w:val="auto"/>
          <w:sz w:val="24"/>
          <w:szCs w:val="24"/>
        </w:rPr>
        <w:t xml:space="preserve">.  </w:t>
      </w:r>
      <w:r w:rsidRPr="00AF675E">
        <w:rPr>
          <w:rFonts w:asciiTheme="majorHAnsi" w:eastAsiaTheme="minorHAnsi" w:hAnsiTheme="majorHAnsi"/>
          <w:color w:val="auto"/>
          <w:sz w:val="24"/>
          <w:szCs w:val="24"/>
        </w:rPr>
        <w:t>In 2017, calls for service decreased by 2,835 when compared to 2016. This is an 8% decrease.</w:t>
      </w:r>
    </w:p>
    <w:p w14:paraId="7909D613" w14:textId="77777777" w:rsidR="00780F63" w:rsidRPr="00AF675E" w:rsidRDefault="00780F63" w:rsidP="00AD7547">
      <w:pPr>
        <w:jc w:val="both"/>
        <w:rPr>
          <w:rFonts w:asciiTheme="majorHAnsi" w:hAnsiTheme="majorHAnsi"/>
        </w:rPr>
      </w:pPr>
    </w:p>
    <w:p w14:paraId="220714F7" w14:textId="0B839B51" w:rsidR="00AD02E7" w:rsidRPr="00683A09" w:rsidRDefault="00820995" w:rsidP="00AD7547">
      <w:pPr>
        <w:jc w:val="both"/>
        <w:rPr>
          <w:rFonts w:asciiTheme="majorHAnsi" w:hAnsiTheme="majorHAnsi"/>
          <w:i/>
        </w:rPr>
      </w:pPr>
      <w:r w:rsidRPr="00683A09">
        <w:rPr>
          <w:rFonts w:asciiTheme="majorHAnsi" w:hAnsiTheme="majorHAnsi"/>
          <w:i/>
        </w:rPr>
        <w:t xml:space="preserve">Incidence of Crime </w:t>
      </w:r>
    </w:p>
    <w:p w14:paraId="78FB904A" w14:textId="77777777" w:rsidR="00820995" w:rsidRPr="00683A09" w:rsidRDefault="00820995" w:rsidP="00AD7547">
      <w:pPr>
        <w:jc w:val="both"/>
        <w:rPr>
          <w:rFonts w:asciiTheme="majorHAnsi" w:hAnsiTheme="majorHAnsi"/>
        </w:rPr>
      </w:pPr>
    </w:p>
    <w:p w14:paraId="392D363E" w14:textId="354B30A3" w:rsidR="00820995" w:rsidRPr="00683A09" w:rsidRDefault="00683A09" w:rsidP="00F3608B">
      <w:pPr>
        <w:tabs>
          <w:tab w:val="left" w:pos="10500"/>
        </w:tabs>
        <w:jc w:val="both"/>
        <w:rPr>
          <w:rFonts w:asciiTheme="majorHAnsi" w:hAnsiTheme="majorHAnsi"/>
        </w:rPr>
      </w:pPr>
      <w:r>
        <w:rPr>
          <w:rFonts w:asciiTheme="majorHAnsi" w:hAnsiTheme="majorHAnsi"/>
        </w:rPr>
        <w:t>While</w:t>
      </w:r>
      <w:r w:rsidR="007A573F" w:rsidRPr="00683A09">
        <w:rPr>
          <w:rFonts w:asciiTheme="majorHAnsi" w:hAnsiTheme="majorHAnsi"/>
        </w:rPr>
        <w:t xml:space="preserve"> there were </w:t>
      </w:r>
      <w:r w:rsidR="007A573F" w:rsidRPr="00683A09">
        <w:rPr>
          <w:rFonts w:asciiTheme="majorHAnsi" w:eastAsiaTheme="minorHAnsi" w:hAnsiTheme="majorHAnsi"/>
        </w:rPr>
        <w:t>31,685 calls for service</w:t>
      </w:r>
      <w:r w:rsidR="005F323C" w:rsidRPr="00683A09">
        <w:rPr>
          <w:rFonts w:asciiTheme="majorHAnsi" w:eastAsiaTheme="minorHAnsi" w:hAnsiTheme="majorHAnsi"/>
        </w:rPr>
        <w:t xml:space="preserve"> answered by police</w:t>
      </w:r>
      <w:r w:rsidR="007A573F" w:rsidRPr="00683A09">
        <w:rPr>
          <w:rFonts w:asciiTheme="majorHAnsi" w:eastAsiaTheme="minorHAnsi" w:hAnsiTheme="majorHAnsi"/>
        </w:rPr>
        <w:t xml:space="preserve"> in 2017, </w:t>
      </w:r>
      <w:r w:rsidR="007A573F" w:rsidRPr="00683A09">
        <w:rPr>
          <w:rFonts w:asciiTheme="majorHAnsi" w:hAnsiTheme="majorHAnsi"/>
        </w:rPr>
        <w:t>t</w:t>
      </w:r>
      <w:r w:rsidR="00820995" w:rsidRPr="00683A09">
        <w:rPr>
          <w:rFonts w:asciiTheme="majorHAnsi" w:hAnsiTheme="majorHAnsi"/>
        </w:rPr>
        <w:t xml:space="preserve">here were </w:t>
      </w:r>
      <w:r w:rsidR="00820995" w:rsidRPr="00683A09">
        <w:rPr>
          <w:rFonts w:asciiTheme="majorHAnsi" w:hAnsiTheme="majorHAnsi"/>
          <w:b/>
        </w:rPr>
        <w:t xml:space="preserve">3,870 </w:t>
      </w:r>
      <w:r w:rsidR="007A573F" w:rsidRPr="00683A09">
        <w:rPr>
          <w:rFonts w:asciiTheme="majorHAnsi" w:hAnsiTheme="majorHAnsi"/>
        </w:rPr>
        <w:t>crimes recorded</w:t>
      </w:r>
      <w:r w:rsidR="00820995" w:rsidRPr="00683A09">
        <w:rPr>
          <w:rFonts w:asciiTheme="majorHAnsi" w:hAnsiTheme="majorHAnsi"/>
        </w:rPr>
        <w:t xml:space="preserve">. </w:t>
      </w:r>
    </w:p>
    <w:p w14:paraId="5EDB6FC0" w14:textId="77777777" w:rsidR="00820995" w:rsidRPr="00683A09" w:rsidRDefault="00820995" w:rsidP="00F3608B">
      <w:pPr>
        <w:tabs>
          <w:tab w:val="left" w:pos="10500"/>
        </w:tabs>
        <w:jc w:val="both"/>
        <w:rPr>
          <w:rFonts w:asciiTheme="majorHAnsi" w:hAnsiTheme="majorHAnsi"/>
        </w:rPr>
      </w:pPr>
    </w:p>
    <w:p w14:paraId="1686C237" w14:textId="015F692E" w:rsidR="00820995" w:rsidRPr="00683A09" w:rsidRDefault="00820995" w:rsidP="00F3608B">
      <w:pPr>
        <w:tabs>
          <w:tab w:val="left" w:pos="10500"/>
        </w:tabs>
        <w:jc w:val="both"/>
        <w:rPr>
          <w:rFonts w:asciiTheme="majorHAnsi" w:hAnsiTheme="majorHAnsi"/>
        </w:rPr>
      </w:pPr>
      <w:r w:rsidRPr="00683A09">
        <w:rPr>
          <w:rFonts w:asciiTheme="majorHAnsi" w:hAnsiTheme="majorHAnsi"/>
        </w:rPr>
        <w:t xml:space="preserve">When comparing 2017 with 2016, the total number of all crimes (inclusive of drug enforcement) decreased </w:t>
      </w:r>
      <w:r w:rsidR="00AF675E">
        <w:rPr>
          <w:rFonts w:asciiTheme="majorHAnsi" w:hAnsiTheme="majorHAnsi"/>
        </w:rPr>
        <w:t>slightly (</w:t>
      </w:r>
      <w:r w:rsidRPr="00683A09">
        <w:rPr>
          <w:rFonts w:asciiTheme="majorHAnsi" w:hAnsiTheme="majorHAnsi"/>
        </w:rPr>
        <w:t>by 31 offences</w:t>
      </w:r>
      <w:r w:rsidR="00AF675E">
        <w:rPr>
          <w:rFonts w:asciiTheme="majorHAnsi" w:hAnsiTheme="majorHAnsi"/>
        </w:rPr>
        <w:t>)</w:t>
      </w:r>
      <w:r w:rsidRPr="00683A09">
        <w:rPr>
          <w:rFonts w:asciiTheme="majorHAnsi" w:hAnsiTheme="majorHAnsi"/>
        </w:rPr>
        <w:t xml:space="preserve">, from 3,901 to 3,870. </w:t>
      </w:r>
    </w:p>
    <w:p w14:paraId="6B06877C" w14:textId="77777777" w:rsidR="00820995" w:rsidRPr="00683A09" w:rsidRDefault="00820995" w:rsidP="00820995">
      <w:pPr>
        <w:tabs>
          <w:tab w:val="left" w:pos="10500"/>
        </w:tabs>
        <w:rPr>
          <w:rFonts w:asciiTheme="majorHAnsi" w:hAnsiTheme="majorHAnsi"/>
        </w:rPr>
      </w:pPr>
    </w:p>
    <w:p w14:paraId="4AD57BB7" w14:textId="4801C2CE" w:rsidR="00820995" w:rsidRPr="00632B01" w:rsidRDefault="00C42FCA" w:rsidP="00820995">
      <w:pPr>
        <w:tabs>
          <w:tab w:val="left" w:pos="10500"/>
        </w:tabs>
        <w:rPr>
          <w:rFonts w:asciiTheme="majorHAnsi" w:hAnsiTheme="majorHAnsi"/>
          <w:i/>
          <w:sz w:val="22"/>
          <w:szCs w:val="22"/>
        </w:rPr>
      </w:pPr>
      <w:r>
        <w:rPr>
          <w:rFonts w:asciiTheme="majorHAnsi" w:hAnsiTheme="majorHAnsi"/>
          <w:i/>
          <w:sz w:val="22"/>
          <w:szCs w:val="22"/>
        </w:rPr>
        <w:t>Table 1</w:t>
      </w:r>
      <w:r w:rsidR="00820995" w:rsidRPr="00632B01">
        <w:rPr>
          <w:rFonts w:asciiTheme="majorHAnsi" w:hAnsiTheme="majorHAnsi"/>
          <w:i/>
          <w:sz w:val="22"/>
          <w:szCs w:val="22"/>
        </w:rPr>
        <w:t>:</w:t>
      </w:r>
      <w:r w:rsidR="005E324E" w:rsidRPr="00632B01">
        <w:rPr>
          <w:rFonts w:asciiTheme="majorHAnsi" w:hAnsiTheme="majorHAnsi"/>
          <w:i/>
          <w:sz w:val="22"/>
          <w:szCs w:val="22"/>
        </w:rPr>
        <w:t xml:space="preserve">  </w:t>
      </w:r>
      <w:r w:rsidR="008B73FC" w:rsidRPr="00632B01">
        <w:rPr>
          <w:rFonts w:asciiTheme="majorHAnsi" w:hAnsiTheme="majorHAnsi"/>
          <w:i/>
          <w:sz w:val="22"/>
          <w:szCs w:val="22"/>
        </w:rPr>
        <w:t>All Crimes by Year, 2015-2017</w:t>
      </w:r>
    </w:p>
    <w:p w14:paraId="12F6ACCB" w14:textId="77777777" w:rsidR="005E324E" w:rsidRPr="00683A09" w:rsidRDefault="005E324E" w:rsidP="00820995">
      <w:pPr>
        <w:tabs>
          <w:tab w:val="left" w:pos="10500"/>
        </w:tabs>
        <w:rPr>
          <w:rFonts w:asciiTheme="majorHAnsi" w:hAnsiTheme="majorHAnsi"/>
          <w:b/>
        </w:rPr>
      </w:pPr>
    </w:p>
    <w:tbl>
      <w:tblPr>
        <w:tblStyle w:val="TableGrid"/>
        <w:tblW w:w="0" w:type="auto"/>
        <w:tblInd w:w="90" w:type="dxa"/>
        <w:tblLook w:val="04A0" w:firstRow="1" w:lastRow="0" w:firstColumn="1" w:lastColumn="0" w:noHBand="0" w:noVBand="1"/>
      </w:tblPr>
      <w:tblGrid>
        <w:gridCol w:w="1795"/>
        <w:gridCol w:w="2016"/>
        <w:gridCol w:w="2473"/>
        <w:gridCol w:w="2122"/>
      </w:tblGrid>
      <w:tr w:rsidR="00820995" w:rsidRPr="00683A09" w14:paraId="599BE6CC" w14:textId="77777777" w:rsidTr="00820995">
        <w:tc>
          <w:tcPr>
            <w:tcW w:w="1795" w:type="dxa"/>
            <w:shd w:val="clear" w:color="auto" w:fill="8DB3E2" w:themeFill="text2" w:themeFillTint="66"/>
          </w:tcPr>
          <w:p w14:paraId="7AF7FD1C" w14:textId="77777777" w:rsidR="00820995" w:rsidRPr="00683A09" w:rsidRDefault="00820995" w:rsidP="00820995">
            <w:pPr>
              <w:tabs>
                <w:tab w:val="left" w:pos="10500"/>
              </w:tabs>
              <w:jc w:val="center"/>
              <w:rPr>
                <w:rFonts w:asciiTheme="majorHAnsi" w:hAnsiTheme="majorHAnsi"/>
                <w:b/>
                <w:sz w:val="24"/>
                <w:szCs w:val="24"/>
              </w:rPr>
            </w:pPr>
            <w:r w:rsidRPr="00683A09">
              <w:rPr>
                <w:rFonts w:asciiTheme="majorHAnsi" w:hAnsiTheme="majorHAnsi"/>
                <w:b/>
                <w:sz w:val="24"/>
                <w:szCs w:val="24"/>
              </w:rPr>
              <w:t>YEAR</w:t>
            </w:r>
          </w:p>
        </w:tc>
        <w:tc>
          <w:tcPr>
            <w:tcW w:w="2016" w:type="dxa"/>
            <w:shd w:val="clear" w:color="auto" w:fill="8DB3E2" w:themeFill="text2" w:themeFillTint="66"/>
          </w:tcPr>
          <w:p w14:paraId="16B60F04" w14:textId="77777777" w:rsidR="00820995" w:rsidRPr="00683A09" w:rsidRDefault="00820995" w:rsidP="00820995">
            <w:pPr>
              <w:tabs>
                <w:tab w:val="left" w:pos="10500"/>
              </w:tabs>
              <w:jc w:val="center"/>
              <w:rPr>
                <w:rFonts w:asciiTheme="majorHAnsi" w:hAnsiTheme="majorHAnsi"/>
                <w:b/>
                <w:sz w:val="24"/>
                <w:szCs w:val="24"/>
              </w:rPr>
            </w:pPr>
            <w:r w:rsidRPr="00683A09">
              <w:rPr>
                <w:rFonts w:asciiTheme="majorHAnsi" w:hAnsiTheme="majorHAnsi"/>
                <w:b/>
                <w:sz w:val="24"/>
                <w:szCs w:val="24"/>
              </w:rPr>
              <w:t>2015</w:t>
            </w:r>
          </w:p>
        </w:tc>
        <w:tc>
          <w:tcPr>
            <w:tcW w:w="2473" w:type="dxa"/>
            <w:shd w:val="clear" w:color="auto" w:fill="8DB3E2" w:themeFill="text2" w:themeFillTint="66"/>
          </w:tcPr>
          <w:p w14:paraId="616AB909" w14:textId="77777777" w:rsidR="00820995" w:rsidRPr="00683A09" w:rsidRDefault="00820995" w:rsidP="00820995">
            <w:pPr>
              <w:tabs>
                <w:tab w:val="left" w:pos="10500"/>
              </w:tabs>
              <w:jc w:val="center"/>
              <w:rPr>
                <w:rFonts w:asciiTheme="majorHAnsi" w:hAnsiTheme="majorHAnsi"/>
                <w:b/>
                <w:sz w:val="24"/>
                <w:szCs w:val="24"/>
              </w:rPr>
            </w:pPr>
            <w:r w:rsidRPr="00683A09">
              <w:rPr>
                <w:rFonts w:asciiTheme="majorHAnsi" w:hAnsiTheme="majorHAnsi"/>
                <w:b/>
                <w:sz w:val="24"/>
                <w:szCs w:val="24"/>
              </w:rPr>
              <w:t>2016</w:t>
            </w:r>
          </w:p>
        </w:tc>
        <w:tc>
          <w:tcPr>
            <w:tcW w:w="2122" w:type="dxa"/>
            <w:shd w:val="clear" w:color="auto" w:fill="8DB3E2" w:themeFill="text2" w:themeFillTint="66"/>
          </w:tcPr>
          <w:p w14:paraId="56496B08" w14:textId="77777777" w:rsidR="00820995" w:rsidRPr="00683A09" w:rsidRDefault="00820995" w:rsidP="00820995">
            <w:pPr>
              <w:tabs>
                <w:tab w:val="left" w:pos="10500"/>
              </w:tabs>
              <w:jc w:val="center"/>
              <w:rPr>
                <w:rFonts w:asciiTheme="majorHAnsi" w:hAnsiTheme="majorHAnsi"/>
                <w:b/>
                <w:sz w:val="24"/>
                <w:szCs w:val="24"/>
              </w:rPr>
            </w:pPr>
            <w:r w:rsidRPr="00683A09">
              <w:rPr>
                <w:rFonts w:asciiTheme="majorHAnsi" w:hAnsiTheme="majorHAnsi"/>
                <w:b/>
                <w:sz w:val="24"/>
                <w:szCs w:val="24"/>
              </w:rPr>
              <w:t>2017</w:t>
            </w:r>
          </w:p>
        </w:tc>
      </w:tr>
      <w:tr w:rsidR="00820995" w:rsidRPr="00683A09" w14:paraId="644FF8BE" w14:textId="77777777" w:rsidTr="00820995">
        <w:tc>
          <w:tcPr>
            <w:tcW w:w="1795" w:type="dxa"/>
            <w:shd w:val="clear" w:color="auto" w:fill="8DB3E2" w:themeFill="text2" w:themeFillTint="66"/>
          </w:tcPr>
          <w:p w14:paraId="4CF21898" w14:textId="77777777" w:rsidR="00820995" w:rsidRPr="00683A09" w:rsidRDefault="00820995" w:rsidP="00820995">
            <w:pPr>
              <w:tabs>
                <w:tab w:val="left" w:pos="10500"/>
              </w:tabs>
              <w:jc w:val="center"/>
              <w:rPr>
                <w:rFonts w:asciiTheme="majorHAnsi" w:hAnsiTheme="majorHAnsi"/>
                <w:b/>
                <w:sz w:val="24"/>
                <w:szCs w:val="24"/>
              </w:rPr>
            </w:pPr>
            <w:r w:rsidRPr="00683A09">
              <w:rPr>
                <w:rFonts w:asciiTheme="majorHAnsi" w:hAnsiTheme="majorHAnsi"/>
                <w:b/>
                <w:sz w:val="24"/>
                <w:szCs w:val="24"/>
              </w:rPr>
              <w:t>ALL CRIMES</w:t>
            </w:r>
          </w:p>
        </w:tc>
        <w:tc>
          <w:tcPr>
            <w:tcW w:w="2016" w:type="dxa"/>
          </w:tcPr>
          <w:p w14:paraId="7EA65C0D" w14:textId="77777777" w:rsidR="00820995" w:rsidRPr="00683A09" w:rsidRDefault="00820995" w:rsidP="00820995">
            <w:pPr>
              <w:tabs>
                <w:tab w:val="left" w:pos="10500"/>
              </w:tabs>
              <w:jc w:val="center"/>
              <w:rPr>
                <w:rFonts w:asciiTheme="majorHAnsi" w:hAnsiTheme="majorHAnsi"/>
                <w:sz w:val="24"/>
                <w:szCs w:val="24"/>
              </w:rPr>
            </w:pPr>
            <w:r w:rsidRPr="00683A09">
              <w:rPr>
                <w:rFonts w:asciiTheme="majorHAnsi" w:hAnsiTheme="majorHAnsi"/>
                <w:sz w:val="24"/>
                <w:szCs w:val="24"/>
              </w:rPr>
              <w:t>3,719</w:t>
            </w:r>
          </w:p>
        </w:tc>
        <w:tc>
          <w:tcPr>
            <w:tcW w:w="2473" w:type="dxa"/>
          </w:tcPr>
          <w:p w14:paraId="4F2660F3" w14:textId="77777777" w:rsidR="00820995" w:rsidRPr="00683A09" w:rsidRDefault="00820995" w:rsidP="00820995">
            <w:pPr>
              <w:tabs>
                <w:tab w:val="left" w:pos="10500"/>
              </w:tabs>
              <w:jc w:val="center"/>
              <w:rPr>
                <w:rFonts w:asciiTheme="majorHAnsi" w:hAnsiTheme="majorHAnsi"/>
                <w:sz w:val="24"/>
                <w:szCs w:val="24"/>
              </w:rPr>
            </w:pPr>
            <w:r w:rsidRPr="00683A09">
              <w:rPr>
                <w:rFonts w:asciiTheme="majorHAnsi" w:hAnsiTheme="majorHAnsi"/>
                <w:sz w:val="24"/>
                <w:szCs w:val="24"/>
              </w:rPr>
              <w:t>3,901</w:t>
            </w:r>
          </w:p>
        </w:tc>
        <w:tc>
          <w:tcPr>
            <w:tcW w:w="2122" w:type="dxa"/>
          </w:tcPr>
          <w:p w14:paraId="0E62186E" w14:textId="77777777" w:rsidR="00820995" w:rsidRPr="00683A09" w:rsidRDefault="00820995" w:rsidP="00820995">
            <w:pPr>
              <w:tabs>
                <w:tab w:val="left" w:pos="10500"/>
              </w:tabs>
              <w:jc w:val="center"/>
              <w:rPr>
                <w:rFonts w:asciiTheme="majorHAnsi" w:hAnsiTheme="majorHAnsi"/>
                <w:sz w:val="24"/>
                <w:szCs w:val="24"/>
              </w:rPr>
            </w:pPr>
            <w:r w:rsidRPr="00683A09">
              <w:rPr>
                <w:rFonts w:asciiTheme="majorHAnsi" w:hAnsiTheme="majorHAnsi"/>
                <w:sz w:val="24"/>
                <w:szCs w:val="24"/>
              </w:rPr>
              <w:t>3,870</w:t>
            </w:r>
          </w:p>
        </w:tc>
      </w:tr>
    </w:tbl>
    <w:p w14:paraId="10D3BC92" w14:textId="77777777" w:rsidR="00632B01" w:rsidRDefault="00632B01" w:rsidP="007A573F">
      <w:pPr>
        <w:pStyle w:val="ListParagraph"/>
        <w:tabs>
          <w:tab w:val="left" w:pos="10500"/>
        </w:tabs>
        <w:ind w:left="0"/>
        <w:jc w:val="both"/>
        <w:rPr>
          <w:rFonts w:asciiTheme="majorHAnsi" w:hAnsiTheme="majorHAnsi"/>
          <w:b/>
        </w:rPr>
      </w:pPr>
    </w:p>
    <w:p w14:paraId="751DB081" w14:textId="77777777" w:rsidR="00C42FCA" w:rsidRDefault="00C42FCA" w:rsidP="007A573F">
      <w:pPr>
        <w:pStyle w:val="ListParagraph"/>
        <w:tabs>
          <w:tab w:val="left" w:pos="10500"/>
        </w:tabs>
        <w:ind w:left="0"/>
        <w:jc w:val="both"/>
        <w:rPr>
          <w:rFonts w:asciiTheme="majorHAnsi" w:hAnsiTheme="majorHAnsi"/>
          <w:b/>
        </w:rPr>
      </w:pPr>
    </w:p>
    <w:p w14:paraId="06F478A6" w14:textId="13620C26" w:rsidR="007A573F" w:rsidRPr="00683A09" w:rsidRDefault="00E86B1D" w:rsidP="007A573F">
      <w:pPr>
        <w:pStyle w:val="ListParagraph"/>
        <w:tabs>
          <w:tab w:val="left" w:pos="10500"/>
        </w:tabs>
        <w:ind w:left="0"/>
        <w:jc w:val="both"/>
        <w:rPr>
          <w:rFonts w:asciiTheme="majorHAnsi" w:hAnsiTheme="majorHAnsi"/>
          <w:b/>
        </w:rPr>
      </w:pPr>
      <w:r w:rsidRPr="00683A09">
        <w:rPr>
          <w:rFonts w:asciiTheme="majorHAnsi" w:hAnsiTheme="majorHAnsi"/>
          <w:b/>
        </w:rPr>
        <w:t>3</w:t>
      </w:r>
      <w:r w:rsidR="00F3608B" w:rsidRPr="00683A09">
        <w:rPr>
          <w:rFonts w:asciiTheme="majorHAnsi" w:hAnsiTheme="majorHAnsi"/>
          <w:b/>
        </w:rPr>
        <w:t xml:space="preserve">. </w:t>
      </w:r>
      <w:r w:rsidR="007A573F" w:rsidRPr="00683A09">
        <w:rPr>
          <w:rFonts w:asciiTheme="majorHAnsi" w:hAnsiTheme="majorHAnsi"/>
          <w:b/>
        </w:rPr>
        <w:t xml:space="preserve">Data </w:t>
      </w:r>
      <w:r w:rsidR="008547B3" w:rsidRPr="00683A09">
        <w:rPr>
          <w:rFonts w:asciiTheme="majorHAnsi" w:hAnsiTheme="majorHAnsi"/>
          <w:b/>
        </w:rPr>
        <w:t xml:space="preserve">Collection and </w:t>
      </w:r>
      <w:r w:rsidR="007A573F" w:rsidRPr="00683A09">
        <w:rPr>
          <w:rFonts w:asciiTheme="majorHAnsi" w:hAnsiTheme="majorHAnsi"/>
          <w:b/>
        </w:rPr>
        <w:t>Interpretation</w:t>
      </w:r>
    </w:p>
    <w:p w14:paraId="6BC5330C" w14:textId="77777777" w:rsidR="007A573F" w:rsidRPr="00683A09" w:rsidRDefault="007A573F" w:rsidP="007A573F">
      <w:pPr>
        <w:pStyle w:val="ListParagraph"/>
        <w:tabs>
          <w:tab w:val="left" w:pos="10500"/>
        </w:tabs>
        <w:ind w:left="0"/>
        <w:jc w:val="both"/>
        <w:rPr>
          <w:rFonts w:asciiTheme="majorHAnsi" w:hAnsiTheme="majorHAnsi"/>
        </w:rPr>
      </w:pPr>
    </w:p>
    <w:p w14:paraId="0CFDA2C4" w14:textId="50E95D69" w:rsidR="007A573F" w:rsidRPr="00683A09" w:rsidRDefault="007A573F" w:rsidP="007A573F">
      <w:pPr>
        <w:pStyle w:val="ListParagraph"/>
        <w:tabs>
          <w:tab w:val="left" w:pos="10500"/>
        </w:tabs>
        <w:ind w:left="0"/>
        <w:jc w:val="both"/>
        <w:rPr>
          <w:rFonts w:asciiTheme="majorHAnsi" w:hAnsiTheme="majorHAnsi"/>
        </w:rPr>
      </w:pPr>
      <w:r w:rsidRPr="00683A09">
        <w:rPr>
          <w:rFonts w:asciiTheme="majorHAnsi" w:hAnsiTheme="majorHAnsi"/>
        </w:rPr>
        <w:t xml:space="preserve">All </w:t>
      </w:r>
      <w:r w:rsidR="00D67E08">
        <w:rPr>
          <w:rFonts w:asciiTheme="majorHAnsi" w:hAnsiTheme="majorHAnsi"/>
        </w:rPr>
        <w:t>crime and traffic statistics in this document</w:t>
      </w:r>
      <w:r w:rsidRPr="00683A09">
        <w:rPr>
          <w:rFonts w:asciiTheme="majorHAnsi" w:hAnsiTheme="majorHAnsi"/>
        </w:rPr>
        <w:t xml:space="preserve"> should be interpreted taking the following as a basis:</w:t>
      </w:r>
    </w:p>
    <w:p w14:paraId="25EF0777" w14:textId="77777777" w:rsidR="007A573F" w:rsidRPr="00683A09" w:rsidRDefault="007A573F" w:rsidP="007A573F">
      <w:pPr>
        <w:pStyle w:val="ListParagraph"/>
        <w:tabs>
          <w:tab w:val="left" w:pos="10500"/>
        </w:tabs>
        <w:ind w:left="0"/>
        <w:jc w:val="both"/>
        <w:rPr>
          <w:rFonts w:asciiTheme="majorHAnsi" w:hAnsiTheme="majorHAnsi"/>
        </w:rPr>
      </w:pPr>
    </w:p>
    <w:p w14:paraId="5FD4A340" w14:textId="77777777" w:rsidR="007A573F" w:rsidRPr="00683A09" w:rsidRDefault="007A573F" w:rsidP="007A573F">
      <w:pPr>
        <w:pStyle w:val="ListParagraph"/>
        <w:numPr>
          <w:ilvl w:val="0"/>
          <w:numId w:val="3"/>
        </w:numPr>
        <w:tabs>
          <w:tab w:val="left" w:pos="10500"/>
        </w:tabs>
        <w:jc w:val="both"/>
        <w:rPr>
          <w:rFonts w:asciiTheme="majorHAnsi" w:hAnsiTheme="majorHAnsi"/>
        </w:rPr>
      </w:pPr>
      <w:r w:rsidRPr="00683A09">
        <w:rPr>
          <w:rFonts w:asciiTheme="majorHAnsi" w:hAnsiTheme="majorHAnsi"/>
        </w:rPr>
        <w:t xml:space="preserve">A </w:t>
      </w:r>
      <w:r w:rsidRPr="00683A09">
        <w:rPr>
          <w:rFonts w:asciiTheme="majorHAnsi" w:hAnsiTheme="majorHAnsi"/>
          <w:i/>
        </w:rPr>
        <w:t>crime</w:t>
      </w:r>
      <w:r w:rsidRPr="00683A09">
        <w:rPr>
          <w:rFonts w:asciiTheme="majorHAnsi" w:hAnsiTheme="majorHAnsi"/>
        </w:rPr>
        <w:t xml:space="preserve"> is defined as an illegal/reckless act or activity for which a person can be punished by law.  </w:t>
      </w:r>
    </w:p>
    <w:p w14:paraId="7B87BB1E" w14:textId="77777777" w:rsidR="007A573F" w:rsidRPr="00683A09" w:rsidRDefault="007A573F" w:rsidP="007A573F">
      <w:pPr>
        <w:pStyle w:val="ListParagraph"/>
        <w:tabs>
          <w:tab w:val="left" w:pos="10500"/>
        </w:tabs>
        <w:ind w:left="0"/>
        <w:jc w:val="both"/>
        <w:rPr>
          <w:rFonts w:asciiTheme="majorHAnsi" w:hAnsiTheme="majorHAnsi"/>
        </w:rPr>
      </w:pPr>
    </w:p>
    <w:p w14:paraId="21226B2E" w14:textId="5A0821CD" w:rsidR="007A573F" w:rsidRPr="00683A09" w:rsidRDefault="008547B3" w:rsidP="008547B3">
      <w:pPr>
        <w:pStyle w:val="ListParagraph"/>
        <w:numPr>
          <w:ilvl w:val="0"/>
          <w:numId w:val="3"/>
        </w:numPr>
        <w:tabs>
          <w:tab w:val="left" w:pos="10500"/>
        </w:tabs>
        <w:jc w:val="both"/>
        <w:rPr>
          <w:rFonts w:asciiTheme="majorHAnsi" w:hAnsiTheme="majorHAnsi"/>
        </w:rPr>
      </w:pPr>
      <w:r w:rsidRPr="00683A09">
        <w:rPr>
          <w:rFonts w:asciiTheme="majorHAnsi" w:hAnsiTheme="majorHAnsi"/>
        </w:rPr>
        <w:t>Statistical data in this document</w:t>
      </w:r>
      <w:r w:rsidR="007A573F" w:rsidRPr="00683A09">
        <w:rPr>
          <w:rFonts w:asciiTheme="majorHAnsi" w:hAnsiTheme="majorHAnsi"/>
        </w:rPr>
        <w:t xml:space="preserve"> pertaining to crimes represent the </w:t>
      </w:r>
      <w:r w:rsidR="007A573F" w:rsidRPr="00683A09">
        <w:rPr>
          <w:rFonts w:asciiTheme="majorHAnsi" w:hAnsiTheme="majorHAnsi"/>
          <w:u w:val="single"/>
        </w:rPr>
        <w:t>substantiated</w:t>
      </w:r>
      <w:r w:rsidR="007A573F" w:rsidRPr="00683A09">
        <w:rPr>
          <w:rFonts w:asciiTheme="majorHAnsi" w:hAnsiTheme="majorHAnsi"/>
        </w:rPr>
        <w:t xml:space="preserve"> principal crimes and offences that occurred in the 2017 calendar year</w:t>
      </w:r>
      <w:r w:rsidRPr="00683A09">
        <w:rPr>
          <w:rFonts w:asciiTheme="majorHAnsi" w:hAnsiTheme="majorHAnsi"/>
        </w:rPr>
        <w:t>. If an incident wa</w:t>
      </w:r>
      <w:r w:rsidR="007A573F" w:rsidRPr="00683A09">
        <w:rPr>
          <w:rFonts w:asciiTheme="majorHAnsi" w:hAnsiTheme="majorHAnsi"/>
        </w:rPr>
        <w:t xml:space="preserve">s included here, then </w:t>
      </w:r>
      <w:r w:rsidRPr="00683A09">
        <w:rPr>
          <w:rFonts w:asciiTheme="majorHAnsi" w:hAnsiTheme="majorHAnsi"/>
        </w:rPr>
        <w:t xml:space="preserve">evidence was gathered in the course of </w:t>
      </w:r>
      <w:r w:rsidR="007A573F" w:rsidRPr="00683A09">
        <w:rPr>
          <w:rFonts w:asciiTheme="majorHAnsi" w:hAnsiTheme="majorHAnsi"/>
        </w:rPr>
        <w:t xml:space="preserve">investigative actions (collection of witness statements, forensic examinations, etc.) </w:t>
      </w:r>
      <w:r w:rsidRPr="00683A09">
        <w:rPr>
          <w:rFonts w:asciiTheme="majorHAnsi" w:hAnsiTheme="majorHAnsi"/>
        </w:rPr>
        <w:t xml:space="preserve">that </w:t>
      </w:r>
      <w:r w:rsidR="007A573F" w:rsidRPr="00683A09">
        <w:rPr>
          <w:rFonts w:asciiTheme="majorHAnsi" w:hAnsiTheme="majorHAnsi"/>
        </w:rPr>
        <w:t xml:space="preserve">reasonably indicated, at the very least, that a crime had taken place.  </w:t>
      </w:r>
      <w:r w:rsidRPr="00683A09">
        <w:rPr>
          <w:rFonts w:asciiTheme="majorHAnsi" w:hAnsiTheme="majorHAnsi"/>
        </w:rPr>
        <w:t>An incident was</w:t>
      </w:r>
      <w:r w:rsidR="007A573F" w:rsidRPr="00683A09">
        <w:rPr>
          <w:rFonts w:asciiTheme="majorHAnsi" w:hAnsiTheme="majorHAnsi"/>
        </w:rPr>
        <w:t xml:space="preserve"> then considered substantiated, and t</w:t>
      </w:r>
      <w:r w:rsidRPr="00683A09">
        <w:rPr>
          <w:rFonts w:asciiTheme="majorHAnsi" w:hAnsiTheme="majorHAnsi"/>
        </w:rPr>
        <w:t>he incident was “crimed” --</w:t>
      </w:r>
      <w:r w:rsidR="007A573F" w:rsidRPr="00683A09">
        <w:rPr>
          <w:rFonts w:asciiTheme="majorHAnsi" w:hAnsiTheme="majorHAnsi"/>
        </w:rPr>
        <w:t xml:space="preserve"> meaning that it was added to the crime figures in the appropriate category.</w:t>
      </w:r>
    </w:p>
    <w:p w14:paraId="40769229" w14:textId="77777777" w:rsidR="007A573F" w:rsidRPr="00683A09" w:rsidRDefault="007A573F" w:rsidP="007A573F">
      <w:pPr>
        <w:pStyle w:val="ListParagraph"/>
        <w:tabs>
          <w:tab w:val="left" w:pos="10500"/>
        </w:tabs>
        <w:ind w:left="0"/>
        <w:jc w:val="both"/>
        <w:rPr>
          <w:rFonts w:asciiTheme="majorHAnsi" w:hAnsiTheme="majorHAnsi"/>
        </w:rPr>
      </w:pPr>
    </w:p>
    <w:p w14:paraId="1FD20F8E" w14:textId="17372F4F" w:rsidR="007A573F" w:rsidRPr="002C32DD" w:rsidRDefault="008547B3" w:rsidP="008547B3">
      <w:pPr>
        <w:pStyle w:val="ListParagraph"/>
        <w:numPr>
          <w:ilvl w:val="0"/>
          <w:numId w:val="3"/>
        </w:numPr>
        <w:tabs>
          <w:tab w:val="left" w:pos="10500"/>
        </w:tabs>
        <w:jc w:val="both"/>
        <w:rPr>
          <w:rFonts w:asciiTheme="majorHAnsi" w:hAnsiTheme="majorHAnsi"/>
        </w:rPr>
      </w:pPr>
      <w:r w:rsidRPr="002C32DD">
        <w:rPr>
          <w:rFonts w:asciiTheme="majorHAnsi" w:hAnsiTheme="majorHAnsi"/>
        </w:rPr>
        <w:t>When there was</w:t>
      </w:r>
      <w:r w:rsidR="007A573F" w:rsidRPr="002C32DD">
        <w:rPr>
          <w:rFonts w:asciiTheme="majorHAnsi" w:hAnsiTheme="majorHAnsi"/>
        </w:rPr>
        <w:t xml:space="preserve"> insufficient evidence to substantiate crimes alleged in a report, then the report remained unsubstantiated, and was not included in these crime figures.</w:t>
      </w:r>
      <w:r w:rsidR="00D67E08" w:rsidRPr="002C32DD">
        <w:rPr>
          <w:rFonts w:asciiTheme="majorHAnsi" w:hAnsiTheme="majorHAnsi"/>
        </w:rPr>
        <w:t xml:space="preserve"> It remained</w:t>
      </w:r>
      <w:r w:rsidR="00AF675E" w:rsidRPr="002C32DD">
        <w:rPr>
          <w:rFonts w:asciiTheme="majorHAnsi" w:hAnsiTheme="majorHAnsi"/>
        </w:rPr>
        <w:t xml:space="preserve"> an incident only.</w:t>
      </w:r>
    </w:p>
    <w:p w14:paraId="1CDB2498" w14:textId="77777777" w:rsidR="00497884" w:rsidRPr="002C32DD" w:rsidRDefault="00497884" w:rsidP="00497884">
      <w:pPr>
        <w:pStyle w:val="ListParagraph"/>
        <w:rPr>
          <w:rFonts w:asciiTheme="majorHAnsi" w:hAnsiTheme="majorHAnsi"/>
        </w:rPr>
      </w:pPr>
    </w:p>
    <w:p w14:paraId="730590B9" w14:textId="378DFCF9" w:rsidR="00652968" w:rsidRPr="002C32DD" w:rsidRDefault="00652968" w:rsidP="00652968">
      <w:pPr>
        <w:pStyle w:val="ListParagraph"/>
        <w:numPr>
          <w:ilvl w:val="0"/>
          <w:numId w:val="20"/>
        </w:numPr>
        <w:jc w:val="both"/>
        <w:rPr>
          <w:rFonts w:asciiTheme="majorHAnsi" w:hAnsiTheme="majorHAnsi"/>
        </w:rPr>
      </w:pPr>
      <w:r w:rsidRPr="002C32DD">
        <w:rPr>
          <w:rFonts w:asciiTheme="majorHAnsi" w:hAnsiTheme="majorHAnsi"/>
        </w:rPr>
        <w:t xml:space="preserve">Only </w:t>
      </w:r>
      <w:r w:rsidRPr="002C32DD">
        <w:rPr>
          <w:rFonts w:asciiTheme="majorHAnsi" w:hAnsiTheme="majorHAnsi"/>
          <w:b/>
          <w:bCs/>
        </w:rPr>
        <w:t>primary offences</w:t>
      </w:r>
      <w:r w:rsidRPr="002C32DD">
        <w:rPr>
          <w:rFonts w:asciiTheme="majorHAnsi" w:hAnsiTheme="majorHAnsi"/>
        </w:rPr>
        <w:t xml:space="preserve"> are included in cumulative statistical data, as per UK National Counting Rules.  This means that the primary offence for which they were arrested for would be re</w:t>
      </w:r>
      <w:bookmarkStart w:id="0" w:name="_GoBack"/>
      <w:bookmarkEnd w:id="0"/>
      <w:r w:rsidRPr="002C32DD">
        <w:rPr>
          <w:rFonts w:asciiTheme="majorHAnsi" w:hAnsiTheme="majorHAnsi"/>
        </w:rPr>
        <w:t>corded and any additional offences (secondary offences) that stems from that single incident will not be included in the cumulative statistics;</w:t>
      </w:r>
    </w:p>
    <w:p w14:paraId="58AB7A33" w14:textId="77777777" w:rsidR="007A573F" w:rsidRPr="002C32DD" w:rsidRDefault="007A573F" w:rsidP="007A573F">
      <w:pPr>
        <w:pStyle w:val="ListParagraph"/>
        <w:tabs>
          <w:tab w:val="left" w:pos="10500"/>
        </w:tabs>
        <w:ind w:left="0"/>
        <w:jc w:val="both"/>
        <w:rPr>
          <w:rFonts w:asciiTheme="majorHAnsi" w:hAnsiTheme="majorHAnsi"/>
        </w:rPr>
      </w:pPr>
    </w:p>
    <w:p w14:paraId="457BD889" w14:textId="66F7BAEE" w:rsidR="007A573F" w:rsidRDefault="007A573F" w:rsidP="008547B3">
      <w:pPr>
        <w:pStyle w:val="ListParagraph"/>
        <w:numPr>
          <w:ilvl w:val="0"/>
          <w:numId w:val="3"/>
        </w:numPr>
        <w:tabs>
          <w:tab w:val="left" w:pos="10500"/>
        </w:tabs>
        <w:jc w:val="both"/>
        <w:rPr>
          <w:rFonts w:asciiTheme="majorHAnsi" w:hAnsiTheme="majorHAnsi"/>
        </w:rPr>
      </w:pPr>
      <w:r w:rsidRPr="00683A09">
        <w:rPr>
          <w:rFonts w:asciiTheme="majorHAnsi" w:hAnsiTheme="majorHAnsi"/>
        </w:rPr>
        <w:lastRenderedPageBreak/>
        <w:t xml:space="preserve">Crimes that occurred during the 2017 calendar year but were undisclosed or unknown to police </w:t>
      </w:r>
      <w:r w:rsidR="008547B3" w:rsidRPr="00683A09">
        <w:rPr>
          <w:rFonts w:asciiTheme="majorHAnsi" w:hAnsiTheme="majorHAnsi"/>
        </w:rPr>
        <w:t>would</w:t>
      </w:r>
      <w:r w:rsidRPr="00683A09">
        <w:rPr>
          <w:rFonts w:asciiTheme="majorHAnsi" w:hAnsiTheme="majorHAnsi"/>
        </w:rPr>
        <w:t xml:space="preserve"> be reflected in these figures at a later date; therefore future slight variations in these numbers are possible. </w:t>
      </w:r>
    </w:p>
    <w:p w14:paraId="263B271C" w14:textId="77777777" w:rsidR="00A925B8" w:rsidRPr="00A925B8" w:rsidRDefault="00A925B8" w:rsidP="00A925B8">
      <w:pPr>
        <w:pStyle w:val="ListParagraph"/>
        <w:rPr>
          <w:rFonts w:asciiTheme="majorHAnsi" w:hAnsiTheme="majorHAnsi"/>
        </w:rPr>
      </w:pPr>
    </w:p>
    <w:p w14:paraId="3CB5D1B7" w14:textId="1996BCDB" w:rsidR="00A925B8" w:rsidRPr="00A925B8" w:rsidRDefault="00A925B8" w:rsidP="00A925B8">
      <w:pPr>
        <w:tabs>
          <w:tab w:val="left" w:pos="10500"/>
        </w:tabs>
        <w:jc w:val="both"/>
        <w:rPr>
          <w:rFonts w:asciiTheme="majorHAnsi" w:hAnsiTheme="majorHAnsi"/>
        </w:rPr>
      </w:pPr>
      <w:r w:rsidRPr="00601B2D">
        <w:rPr>
          <w:rFonts w:asciiTheme="majorHAnsi" w:hAnsiTheme="majorHAnsi"/>
        </w:rPr>
        <w:t xml:space="preserve">To ensure the quality and integrity of its data, the RCIPS is engaging with the Economics </w:t>
      </w:r>
      <w:r w:rsidR="00D67E08">
        <w:rPr>
          <w:rFonts w:asciiTheme="majorHAnsi" w:hAnsiTheme="majorHAnsi"/>
        </w:rPr>
        <w:t>and</w:t>
      </w:r>
      <w:r w:rsidRPr="00601B2D">
        <w:rPr>
          <w:rFonts w:asciiTheme="majorHAnsi" w:hAnsiTheme="majorHAnsi"/>
        </w:rPr>
        <w:t xml:space="preserve"> Statistics Office to formalize a crime counting protocol going forward with the objective of securing affirmation of our crime counting process.</w:t>
      </w:r>
    </w:p>
    <w:p w14:paraId="3402D6E4" w14:textId="77777777" w:rsidR="005E324E" w:rsidRPr="00683A09" w:rsidRDefault="005E324E" w:rsidP="00AD7547">
      <w:pPr>
        <w:jc w:val="both"/>
        <w:rPr>
          <w:rFonts w:asciiTheme="majorHAnsi" w:hAnsiTheme="majorHAnsi"/>
        </w:rPr>
      </w:pPr>
    </w:p>
    <w:p w14:paraId="3C8563B7" w14:textId="77777777" w:rsidR="001A6B87" w:rsidRPr="00683A09" w:rsidRDefault="001A6B87" w:rsidP="00AD7547">
      <w:pPr>
        <w:jc w:val="both"/>
        <w:rPr>
          <w:rFonts w:asciiTheme="majorHAnsi" w:hAnsiTheme="majorHAnsi"/>
        </w:rPr>
      </w:pPr>
    </w:p>
    <w:p w14:paraId="5D6C7806" w14:textId="693C48AB" w:rsidR="00286CF6" w:rsidRPr="00683A09" w:rsidRDefault="00E86B1D" w:rsidP="00286CF6">
      <w:pPr>
        <w:jc w:val="both"/>
        <w:rPr>
          <w:rFonts w:asciiTheme="majorHAnsi" w:hAnsiTheme="majorHAnsi"/>
          <w:b/>
        </w:rPr>
      </w:pPr>
      <w:r w:rsidRPr="00683A09">
        <w:rPr>
          <w:rFonts w:asciiTheme="majorHAnsi" w:hAnsiTheme="majorHAnsi"/>
          <w:b/>
        </w:rPr>
        <w:t>4</w:t>
      </w:r>
      <w:r w:rsidR="00286CF6" w:rsidRPr="00683A09">
        <w:rPr>
          <w:rFonts w:asciiTheme="majorHAnsi" w:hAnsiTheme="majorHAnsi"/>
          <w:b/>
        </w:rPr>
        <w:t>. 2017 Cumulative Crime Totals</w:t>
      </w:r>
    </w:p>
    <w:p w14:paraId="628F62FC" w14:textId="77777777" w:rsidR="00286CF6" w:rsidRPr="00683A09" w:rsidRDefault="00286CF6" w:rsidP="00286CF6">
      <w:pPr>
        <w:ind w:left="360"/>
        <w:jc w:val="both"/>
        <w:rPr>
          <w:rFonts w:asciiTheme="majorHAnsi" w:hAnsiTheme="majorHAnsi"/>
        </w:rPr>
      </w:pPr>
    </w:p>
    <w:p w14:paraId="3966EBC5" w14:textId="4A5F2602" w:rsidR="001A6B87" w:rsidRPr="00683A09" w:rsidRDefault="00497884" w:rsidP="00FD3162">
      <w:pPr>
        <w:jc w:val="both"/>
        <w:rPr>
          <w:rFonts w:asciiTheme="majorHAnsi" w:hAnsiTheme="majorHAnsi"/>
        </w:rPr>
      </w:pPr>
      <w:r>
        <w:rPr>
          <w:rFonts w:asciiTheme="majorHAnsi" w:hAnsiTheme="majorHAnsi"/>
        </w:rPr>
        <w:t>Figure 1</w:t>
      </w:r>
      <w:r w:rsidR="00286CF6" w:rsidRPr="00683A09">
        <w:rPr>
          <w:rFonts w:asciiTheme="majorHAnsi" w:hAnsiTheme="majorHAnsi"/>
        </w:rPr>
        <w:t xml:space="preserve"> summarizes crime totals for the years 2017 vs. 2016.</w:t>
      </w:r>
    </w:p>
    <w:p w14:paraId="1B2C1819" w14:textId="3F41FD42" w:rsidR="00DD0BE4" w:rsidRDefault="00DD0BE4" w:rsidP="00286CF6">
      <w:pPr>
        <w:jc w:val="both"/>
        <w:rPr>
          <w:rFonts w:asciiTheme="majorHAnsi" w:hAnsiTheme="majorHAnsi"/>
          <w:i/>
        </w:rPr>
      </w:pPr>
    </w:p>
    <w:p w14:paraId="619DA158" w14:textId="225340C9" w:rsidR="00FD3162" w:rsidRPr="00FD3162" w:rsidRDefault="00FD3162" w:rsidP="00286CF6">
      <w:pPr>
        <w:jc w:val="both"/>
        <w:rPr>
          <w:rFonts w:asciiTheme="majorHAnsi" w:hAnsiTheme="majorHAnsi"/>
        </w:rPr>
      </w:pPr>
      <w:r>
        <w:rPr>
          <w:rFonts w:asciiTheme="majorHAnsi" w:hAnsiTheme="majorHAnsi"/>
        </w:rPr>
        <w:t>The following notes explain certain changes in the presentation of the cumulative stats.</w:t>
      </w:r>
    </w:p>
    <w:p w14:paraId="05A5484F" w14:textId="77777777" w:rsidR="00DD0BE4" w:rsidRPr="00683A09" w:rsidRDefault="00DD0BE4" w:rsidP="00286CF6">
      <w:pPr>
        <w:jc w:val="both"/>
        <w:rPr>
          <w:rFonts w:asciiTheme="majorHAnsi" w:hAnsiTheme="majorHAnsi"/>
        </w:rPr>
      </w:pPr>
    </w:p>
    <w:p w14:paraId="0A4F1A1E" w14:textId="03237933" w:rsidR="00286CF6" w:rsidRPr="00683A09" w:rsidRDefault="00DD0BE4" w:rsidP="0018654C">
      <w:pPr>
        <w:pStyle w:val="ListParagraph"/>
        <w:numPr>
          <w:ilvl w:val="0"/>
          <w:numId w:val="6"/>
        </w:numPr>
        <w:jc w:val="both"/>
        <w:rPr>
          <w:rFonts w:asciiTheme="majorHAnsi" w:hAnsiTheme="majorHAnsi"/>
        </w:rPr>
      </w:pPr>
      <w:r w:rsidRPr="00683A09">
        <w:rPr>
          <w:rFonts w:asciiTheme="majorHAnsi" w:hAnsiTheme="majorHAnsi"/>
        </w:rPr>
        <w:t>The Cumulative Statistics are grou</w:t>
      </w:r>
      <w:r w:rsidR="0018654C" w:rsidRPr="00683A09">
        <w:rPr>
          <w:rFonts w:asciiTheme="majorHAnsi" w:hAnsiTheme="majorHAnsi"/>
        </w:rPr>
        <w:t xml:space="preserve">ped by “Serious” and “Other” Crimes, dispensing with earlier categories used such as “Volume” or “Violent” crime.  These earlier terms carried distinctions that at times lacked clarity.  Serious crimes </w:t>
      </w:r>
      <w:r w:rsidR="00544723" w:rsidRPr="00683A09">
        <w:rPr>
          <w:rFonts w:asciiTheme="majorHAnsi" w:hAnsiTheme="majorHAnsi"/>
        </w:rPr>
        <w:t>can be defined as</w:t>
      </w:r>
      <w:r w:rsidR="0018654C" w:rsidRPr="00683A09">
        <w:rPr>
          <w:rFonts w:asciiTheme="majorHAnsi" w:hAnsiTheme="majorHAnsi"/>
        </w:rPr>
        <w:t xml:space="preserve"> those that can carry significant custodial sentences, while those in the Other crimes category may carry no custodia</w:t>
      </w:r>
      <w:r w:rsidR="00B05FF4" w:rsidRPr="00683A09">
        <w:rPr>
          <w:rFonts w:asciiTheme="majorHAnsi" w:hAnsiTheme="majorHAnsi"/>
        </w:rPr>
        <w:t>l sentence;</w:t>
      </w:r>
    </w:p>
    <w:p w14:paraId="143C4ED3" w14:textId="0D1A1159" w:rsidR="0018654C" w:rsidRPr="00683A09" w:rsidRDefault="0018654C" w:rsidP="0018654C">
      <w:pPr>
        <w:pStyle w:val="ListParagraph"/>
        <w:numPr>
          <w:ilvl w:val="0"/>
          <w:numId w:val="6"/>
        </w:numPr>
        <w:jc w:val="both"/>
        <w:rPr>
          <w:rFonts w:asciiTheme="majorHAnsi" w:hAnsiTheme="majorHAnsi"/>
        </w:rPr>
      </w:pPr>
      <w:r w:rsidRPr="00683A09">
        <w:rPr>
          <w:rFonts w:asciiTheme="majorHAnsi" w:hAnsiTheme="majorHAnsi"/>
        </w:rPr>
        <w:t xml:space="preserve">Firearm and Drug Incidents are now incorporated into general crime categories, but are broken down further and explained in greater detail in sections </w:t>
      </w:r>
      <w:r w:rsidR="00642F5D" w:rsidRPr="00683A09">
        <w:rPr>
          <w:rFonts w:asciiTheme="majorHAnsi" w:hAnsiTheme="majorHAnsi"/>
        </w:rPr>
        <w:t>7</w:t>
      </w:r>
      <w:r w:rsidR="00B05FF4" w:rsidRPr="00683A09">
        <w:rPr>
          <w:rFonts w:asciiTheme="majorHAnsi" w:hAnsiTheme="majorHAnsi"/>
        </w:rPr>
        <w:t xml:space="preserve"> &amp; </w:t>
      </w:r>
      <w:r w:rsidR="00642F5D" w:rsidRPr="00683A09">
        <w:rPr>
          <w:rFonts w:asciiTheme="majorHAnsi" w:hAnsiTheme="majorHAnsi"/>
        </w:rPr>
        <w:t>8</w:t>
      </w:r>
      <w:r w:rsidR="00B05FF4" w:rsidRPr="00683A09">
        <w:rPr>
          <w:rFonts w:asciiTheme="majorHAnsi" w:hAnsiTheme="majorHAnsi"/>
        </w:rPr>
        <w:t>;</w:t>
      </w:r>
    </w:p>
    <w:p w14:paraId="574B266C" w14:textId="40DCC3B6" w:rsidR="0018654C" w:rsidRPr="00683A09" w:rsidRDefault="0018654C" w:rsidP="0018654C">
      <w:pPr>
        <w:pStyle w:val="ListParagraph"/>
        <w:numPr>
          <w:ilvl w:val="0"/>
          <w:numId w:val="6"/>
        </w:numPr>
        <w:jc w:val="both"/>
        <w:rPr>
          <w:rFonts w:asciiTheme="majorHAnsi" w:hAnsiTheme="majorHAnsi"/>
        </w:rPr>
      </w:pPr>
      <w:r w:rsidRPr="00683A09">
        <w:rPr>
          <w:rFonts w:asciiTheme="majorHAnsi" w:hAnsiTheme="majorHAnsi"/>
        </w:rPr>
        <w:t>Child Cruelty and Neglect</w:t>
      </w:r>
      <w:r w:rsidR="00B05FF4" w:rsidRPr="00683A09">
        <w:rPr>
          <w:rFonts w:asciiTheme="majorHAnsi" w:hAnsiTheme="majorHAnsi"/>
        </w:rPr>
        <w:t>, as well as “Other sexual offences” pertaining to children have</w:t>
      </w:r>
      <w:r w:rsidRPr="00683A09">
        <w:rPr>
          <w:rFonts w:asciiTheme="majorHAnsi" w:hAnsiTheme="majorHAnsi"/>
        </w:rPr>
        <w:t xml:space="preserve"> been included </w:t>
      </w:r>
      <w:r w:rsidR="00B05FF4" w:rsidRPr="00683A09">
        <w:rPr>
          <w:rFonts w:asciiTheme="majorHAnsi" w:hAnsiTheme="majorHAnsi"/>
        </w:rPr>
        <w:t>in their own categories to register organizational focus in this area;</w:t>
      </w:r>
    </w:p>
    <w:p w14:paraId="65B1F713" w14:textId="625282BB" w:rsidR="00B05FF4" w:rsidRPr="00683A09" w:rsidRDefault="00B05FF4" w:rsidP="0018654C">
      <w:pPr>
        <w:pStyle w:val="ListParagraph"/>
        <w:numPr>
          <w:ilvl w:val="0"/>
          <w:numId w:val="6"/>
        </w:numPr>
        <w:jc w:val="both"/>
        <w:rPr>
          <w:rFonts w:asciiTheme="majorHAnsi" w:hAnsiTheme="majorHAnsi"/>
        </w:rPr>
      </w:pPr>
      <w:r w:rsidRPr="00683A09">
        <w:rPr>
          <w:rFonts w:asciiTheme="majorHAnsi" w:hAnsiTheme="majorHAnsi"/>
        </w:rPr>
        <w:t xml:space="preserve">Domestic Violence/Assault as a separate category has been removed, since crimes that arise from or are related to domestic violence can span across different crime categories.  A better indicator of the incidence of domestic violence-related crime are referrals received and </w:t>
      </w:r>
      <w:r w:rsidR="00D67E08">
        <w:rPr>
          <w:rFonts w:asciiTheme="majorHAnsi" w:hAnsiTheme="majorHAnsi"/>
        </w:rPr>
        <w:t>handled</w:t>
      </w:r>
      <w:r w:rsidRPr="00683A09">
        <w:rPr>
          <w:rFonts w:asciiTheme="majorHAnsi" w:hAnsiTheme="majorHAnsi"/>
        </w:rPr>
        <w:t xml:space="preserve"> through the Family Support Unit, which are described und</w:t>
      </w:r>
      <w:r w:rsidR="00642F5D" w:rsidRPr="00683A09">
        <w:rPr>
          <w:rFonts w:asciiTheme="majorHAnsi" w:hAnsiTheme="majorHAnsi"/>
        </w:rPr>
        <w:t>er s</w:t>
      </w:r>
      <w:r w:rsidRPr="00683A09">
        <w:rPr>
          <w:rFonts w:asciiTheme="majorHAnsi" w:hAnsiTheme="majorHAnsi"/>
        </w:rPr>
        <w:t xml:space="preserve">ection </w:t>
      </w:r>
      <w:r w:rsidR="00642F5D" w:rsidRPr="00683A09">
        <w:rPr>
          <w:rFonts w:asciiTheme="majorHAnsi" w:hAnsiTheme="majorHAnsi"/>
        </w:rPr>
        <w:t>9</w:t>
      </w:r>
      <w:r w:rsidRPr="00683A09">
        <w:rPr>
          <w:rFonts w:asciiTheme="majorHAnsi" w:hAnsiTheme="majorHAnsi"/>
        </w:rPr>
        <w:t>;</w:t>
      </w:r>
    </w:p>
    <w:p w14:paraId="77608A10" w14:textId="67003F61" w:rsidR="00B05FF4" w:rsidRPr="00683A09" w:rsidRDefault="00B05FF4" w:rsidP="0018654C">
      <w:pPr>
        <w:pStyle w:val="ListParagraph"/>
        <w:numPr>
          <w:ilvl w:val="0"/>
          <w:numId w:val="6"/>
        </w:numPr>
        <w:jc w:val="both"/>
        <w:rPr>
          <w:rFonts w:asciiTheme="majorHAnsi" w:hAnsiTheme="majorHAnsi"/>
        </w:rPr>
      </w:pPr>
      <w:r w:rsidRPr="00683A09">
        <w:rPr>
          <w:rFonts w:asciiTheme="majorHAnsi" w:hAnsiTheme="majorHAnsi"/>
        </w:rPr>
        <w:t>A general Fraud category has been included to summarize deception offences;</w:t>
      </w:r>
    </w:p>
    <w:p w14:paraId="03C26258" w14:textId="126E2803" w:rsidR="00544723" w:rsidRPr="00683A09" w:rsidRDefault="00544723" w:rsidP="0018654C">
      <w:pPr>
        <w:pStyle w:val="ListParagraph"/>
        <w:numPr>
          <w:ilvl w:val="0"/>
          <w:numId w:val="6"/>
        </w:numPr>
        <w:jc w:val="both"/>
        <w:rPr>
          <w:rFonts w:asciiTheme="majorHAnsi" w:hAnsiTheme="majorHAnsi"/>
        </w:rPr>
      </w:pPr>
      <w:r w:rsidRPr="00683A09">
        <w:rPr>
          <w:rFonts w:asciiTheme="majorHAnsi" w:hAnsiTheme="majorHAnsi"/>
        </w:rPr>
        <w:t>Arson and Motor Vehicle Theft, which have increased in 2017 and have generated public interest, have been included in separate categories;</w:t>
      </w:r>
    </w:p>
    <w:p w14:paraId="5D87E840" w14:textId="2701BA08" w:rsidR="00B76B4B" w:rsidRPr="00683A09" w:rsidRDefault="00544723" w:rsidP="0018654C">
      <w:pPr>
        <w:pStyle w:val="ListParagraph"/>
        <w:numPr>
          <w:ilvl w:val="0"/>
          <w:numId w:val="6"/>
        </w:numPr>
        <w:jc w:val="both"/>
        <w:rPr>
          <w:rFonts w:asciiTheme="majorHAnsi" w:hAnsiTheme="majorHAnsi"/>
        </w:rPr>
      </w:pPr>
      <w:r w:rsidRPr="00683A09">
        <w:rPr>
          <w:rFonts w:asciiTheme="majorHAnsi" w:hAnsiTheme="majorHAnsi"/>
        </w:rPr>
        <w:t xml:space="preserve">All crimes of significant public interest, such as violent crimes, burglaries, firearm and drug incidents, are broken down further </w:t>
      </w:r>
      <w:r w:rsidR="00D67E08">
        <w:rPr>
          <w:rFonts w:asciiTheme="majorHAnsi" w:hAnsiTheme="majorHAnsi"/>
        </w:rPr>
        <w:t xml:space="preserve">and discussed further </w:t>
      </w:r>
      <w:r w:rsidR="00B76B4B" w:rsidRPr="00683A09">
        <w:rPr>
          <w:rFonts w:asciiTheme="majorHAnsi" w:hAnsiTheme="majorHAnsi"/>
        </w:rPr>
        <w:t xml:space="preserve">in sections </w:t>
      </w:r>
      <w:r w:rsidR="00642F5D" w:rsidRPr="00683A09">
        <w:rPr>
          <w:rFonts w:asciiTheme="majorHAnsi" w:hAnsiTheme="majorHAnsi"/>
        </w:rPr>
        <w:t>6 through 10.</w:t>
      </w:r>
    </w:p>
    <w:p w14:paraId="189AA86F" w14:textId="77777777" w:rsidR="00F3608B" w:rsidRPr="00683A09" w:rsidRDefault="00F3608B" w:rsidP="00B76B4B">
      <w:pPr>
        <w:jc w:val="both"/>
        <w:rPr>
          <w:rFonts w:asciiTheme="majorHAnsi" w:hAnsiTheme="majorHAnsi"/>
          <w:i/>
        </w:rPr>
      </w:pPr>
    </w:p>
    <w:p w14:paraId="2BC9CC1C" w14:textId="5E128910" w:rsidR="00B76B4B" w:rsidRPr="00683A09" w:rsidRDefault="00B76B4B" w:rsidP="00B76B4B">
      <w:pPr>
        <w:jc w:val="both"/>
        <w:rPr>
          <w:rFonts w:asciiTheme="majorHAnsi" w:hAnsiTheme="majorHAnsi"/>
          <w:i/>
        </w:rPr>
      </w:pPr>
      <w:r w:rsidRPr="00683A09">
        <w:rPr>
          <w:rFonts w:asciiTheme="majorHAnsi" w:hAnsiTheme="majorHAnsi"/>
          <w:i/>
        </w:rPr>
        <w:t>Observations on Cumulative Statistics:</w:t>
      </w:r>
    </w:p>
    <w:p w14:paraId="05E9313C" w14:textId="77777777" w:rsidR="00B76B4B" w:rsidRPr="00683A09" w:rsidRDefault="00B76B4B" w:rsidP="00B76B4B">
      <w:pPr>
        <w:jc w:val="both"/>
        <w:rPr>
          <w:rFonts w:asciiTheme="majorHAnsi" w:hAnsiTheme="majorHAnsi"/>
        </w:rPr>
      </w:pPr>
    </w:p>
    <w:p w14:paraId="0F8C5990" w14:textId="2F4BF2FF" w:rsidR="00B05FF4" w:rsidRPr="00683A09" w:rsidRDefault="00B76B4B" w:rsidP="00867FC1">
      <w:pPr>
        <w:ind w:left="48"/>
        <w:jc w:val="both"/>
        <w:rPr>
          <w:rFonts w:asciiTheme="majorHAnsi" w:hAnsiTheme="majorHAnsi"/>
        </w:rPr>
      </w:pPr>
      <w:r w:rsidRPr="00683A09">
        <w:rPr>
          <w:rFonts w:asciiTheme="majorHAnsi" w:hAnsiTheme="majorHAnsi"/>
        </w:rPr>
        <w:t xml:space="preserve">While the numbers of certain crimes have varied notably between 2016 and 2017 (e.g., burglaries, assault ABH), the overall cumulative incidence of crime across general categories has varied </w:t>
      </w:r>
      <w:r w:rsidR="00D67E08">
        <w:rPr>
          <w:rFonts w:asciiTheme="majorHAnsi" w:hAnsiTheme="majorHAnsi"/>
        </w:rPr>
        <w:t>only slightly</w:t>
      </w:r>
      <w:r w:rsidRPr="00683A09">
        <w:rPr>
          <w:rFonts w:asciiTheme="majorHAnsi" w:hAnsiTheme="majorHAnsi"/>
        </w:rPr>
        <w:t>, as such: Serious Crimes (</w:t>
      </w:r>
      <w:r w:rsidR="00A925B8">
        <w:rPr>
          <w:rFonts w:asciiTheme="majorHAnsi" w:hAnsiTheme="majorHAnsi"/>
        </w:rPr>
        <w:t xml:space="preserve">by 17, </w:t>
      </w:r>
      <w:r w:rsidRPr="00683A09">
        <w:rPr>
          <w:rFonts w:asciiTheme="majorHAnsi" w:hAnsiTheme="majorHAnsi"/>
        </w:rPr>
        <w:t xml:space="preserve">less than </w:t>
      </w:r>
      <w:r w:rsidR="00A925B8">
        <w:rPr>
          <w:rFonts w:asciiTheme="majorHAnsi" w:hAnsiTheme="majorHAnsi"/>
        </w:rPr>
        <w:t>+</w:t>
      </w:r>
      <w:r w:rsidRPr="00683A09">
        <w:rPr>
          <w:rFonts w:asciiTheme="majorHAnsi" w:hAnsiTheme="majorHAnsi"/>
        </w:rPr>
        <w:t>1%), Other Crimes (</w:t>
      </w:r>
      <w:r w:rsidR="00A925B8">
        <w:rPr>
          <w:rFonts w:asciiTheme="majorHAnsi" w:hAnsiTheme="majorHAnsi"/>
        </w:rPr>
        <w:t>by 106, about -</w:t>
      </w:r>
      <w:r w:rsidRPr="00683A09">
        <w:rPr>
          <w:rFonts w:asciiTheme="majorHAnsi" w:hAnsiTheme="majorHAnsi"/>
        </w:rPr>
        <w:t>5%), Overall (</w:t>
      </w:r>
      <w:r w:rsidR="00A925B8">
        <w:rPr>
          <w:rFonts w:asciiTheme="majorHAnsi" w:hAnsiTheme="majorHAnsi"/>
        </w:rPr>
        <w:t>by 31, approximately -</w:t>
      </w:r>
      <w:r w:rsidRPr="00683A09">
        <w:rPr>
          <w:rFonts w:asciiTheme="majorHAnsi" w:hAnsiTheme="majorHAnsi"/>
        </w:rPr>
        <w:t xml:space="preserve">1%). </w:t>
      </w:r>
    </w:p>
    <w:p w14:paraId="1F923377" w14:textId="77777777" w:rsidR="00B47FC5" w:rsidRPr="00683A09" w:rsidRDefault="00B47FC5" w:rsidP="009A281F">
      <w:pPr>
        <w:jc w:val="both"/>
        <w:rPr>
          <w:rFonts w:asciiTheme="majorHAnsi" w:hAnsiTheme="majorHAnsi"/>
        </w:rPr>
      </w:pPr>
    </w:p>
    <w:p w14:paraId="46CD0F55" w14:textId="77777777" w:rsidR="00B47FC5" w:rsidRDefault="00B47FC5" w:rsidP="009A281F">
      <w:pPr>
        <w:jc w:val="both"/>
        <w:rPr>
          <w:rFonts w:asciiTheme="majorHAnsi" w:hAnsiTheme="majorHAnsi"/>
        </w:rPr>
      </w:pPr>
    </w:p>
    <w:p w14:paraId="567BBCA0" w14:textId="77777777" w:rsidR="00255760" w:rsidRDefault="00255760" w:rsidP="009A281F">
      <w:pPr>
        <w:jc w:val="both"/>
        <w:rPr>
          <w:rFonts w:asciiTheme="majorHAnsi" w:hAnsiTheme="majorHAnsi"/>
        </w:rPr>
      </w:pPr>
    </w:p>
    <w:p w14:paraId="77B62030" w14:textId="77777777" w:rsidR="00C41411" w:rsidRPr="00683A09" w:rsidRDefault="00C41411" w:rsidP="009A281F">
      <w:pPr>
        <w:jc w:val="both"/>
        <w:rPr>
          <w:rFonts w:asciiTheme="majorHAnsi" w:hAnsiTheme="majorHAnsi"/>
        </w:rPr>
      </w:pPr>
    </w:p>
    <w:p w14:paraId="7F87F5DF" w14:textId="6C3787C8" w:rsidR="009A281F" w:rsidRPr="00683A09" w:rsidRDefault="00B944EE" w:rsidP="00F3608B">
      <w:pPr>
        <w:jc w:val="both"/>
        <w:rPr>
          <w:rFonts w:asciiTheme="majorHAnsi" w:hAnsiTheme="majorHAnsi"/>
          <w:b/>
        </w:rPr>
      </w:pPr>
      <w:r w:rsidRPr="00683A09">
        <w:rPr>
          <w:rFonts w:asciiTheme="majorHAnsi" w:hAnsiTheme="majorHAnsi"/>
          <w:b/>
        </w:rPr>
        <w:t>5. Overview</w:t>
      </w:r>
      <w:r w:rsidR="00E86B1D" w:rsidRPr="00683A09">
        <w:rPr>
          <w:rFonts w:asciiTheme="majorHAnsi" w:hAnsiTheme="majorHAnsi"/>
          <w:b/>
        </w:rPr>
        <w:t xml:space="preserve">: </w:t>
      </w:r>
      <w:r w:rsidR="00B47FC5" w:rsidRPr="00683A09">
        <w:rPr>
          <w:rFonts w:asciiTheme="majorHAnsi" w:hAnsiTheme="majorHAnsi"/>
          <w:b/>
        </w:rPr>
        <w:t xml:space="preserve">Serious </w:t>
      </w:r>
      <w:r w:rsidR="00E86B1D" w:rsidRPr="00683A09">
        <w:rPr>
          <w:rFonts w:asciiTheme="majorHAnsi" w:hAnsiTheme="majorHAnsi"/>
          <w:b/>
        </w:rPr>
        <w:t>and Other Crimes</w:t>
      </w:r>
    </w:p>
    <w:p w14:paraId="0A900C10" w14:textId="77777777" w:rsidR="00B05FF4" w:rsidRPr="00683A09" w:rsidRDefault="00B05FF4" w:rsidP="00B05FF4">
      <w:pPr>
        <w:jc w:val="both"/>
        <w:rPr>
          <w:rFonts w:asciiTheme="majorHAnsi" w:hAnsiTheme="majorHAnsi"/>
        </w:rPr>
      </w:pPr>
    </w:p>
    <w:p w14:paraId="2BE934E7" w14:textId="716280E3" w:rsidR="00867FC1" w:rsidRPr="00683A09" w:rsidRDefault="00867FC1" w:rsidP="002F728B">
      <w:pPr>
        <w:jc w:val="both"/>
        <w:rPr>
          <w:rFonts w:asciiTheme="majorHAnsi" w:hAnsiTheme="majorHAnsi"/>
        </w:rPr>
      </w:pPr>
      <w:r w:rsidRPr="00683A09">
        <w:rPr>
          <w:rFonts w:asciiTheme="majorHAnsi" w:hAnsiTheme="majorHAnsi"/>
        </w:rPr>
        <w:t>Serious crimes accoun</w:t>
      </w:r>
      <w:r w:rsidR="00683A09">
        <w:rPr>
          <w:rFonts w:asciiTheme="majorHAnsi" w:hAnsiTheme="majorHAnsi"/>
        </w:rPr>
        <w:t xml:space="preserve">t for </w:t>
      </w:r>
      <w:r w:rsidR="001061D5">
        <w:rPr>
          <w:rFonts w:asciiTheme="majorHAnsi" w:hAnsiTheme="majorHAnsi"/>
        </w:rPr>
        <w:t>1718</w:t>
      </w:r>
      <w:r w:rsidR="00CC27FF">
        <w:rPr>
          <w:rFonts w:asciiTheme="majorHAnsi" w:hAnsiTheme="majorHAnsi"/>
        </w:rPr>
        <w:t xml:space="preserve"> (</w:t>
      </w:r>
      <w:r w:rsidR="00683A09">
        <w:rPr>
          <w:rFonts w:asciiTheme="majorHAnsi" w:hAnsiTheme="majorHAnsi"/>
        </w:rPr>
        <w:t>44%</w:t>
      </w:r>
      <w:r w:rsidR="00CC27FF">
        <w:rPr>
          <w:rFonts w:asciiTheme="majorHAnsi" w:hAnsiTheme="majorHAnsi"/>
        </w:rPr>
        <w:t>)</w:t>
      </w:r>
      <w:r w:rsidR="00683A09">
        <w:rPr>
          <w:rFonts w:asciiTheme="majorHAnsi" w:hAnsiTheme="majorHAnsi"/>
        </w:rPr>
        <w:t xml:space="preserve"> of all crimes in the Cayman I</w:t>
      </w:r>
      <w:r w:rsidRPr="00683A09">
        <w:rPr>
          <w:rFonts w:asciiTheme="majorHAnsi" w:hAnsiTheme="majorHAnsi"/>
        </w:rPr>
        <w:t>slands, and many crimes within this category had no notable statistical fl</w:t>
      </w:r>
      <w:r w:rsidR="001B4C41" w:rsidRPr="00683A09">
        <w:rPr>
          <w:rFonts w:asciiTheme="majorHAnsi" w:hAnsiTheme="majorHAnsi"/>
        </w:rPr>
        <w:t xml:space="preserve">uctuation across 2016 and 2017.  Those crimes are </w:t>
      </w:r>
      <w:r w:rsidRPr="00683A09">
        <w:rPr>
          <w:rFonts w:asciiTheme="majorHAnsi" w:hAnsiTheme="majorHAnsi"/>
        </w:rPr>
        <w:t xml:space="preserve">murder, </w:t>
      </w:r>
      <w:r w:rsidR="001B4C41" w:rsidRPr="00683A09">
        <w:rPr>
          <w:rFonts w:asciiTheme="majorHAnsi" w:hAnsiTheme="majorHAnsi"/>
        </w:rPr>
        <w:t xml:space="preserve">attempted rape, </w:t>
      </w:r>
      <w:r w:rsidRPr="00683A09">
        <w:rPr>
          <w:rFonts w:asciiTheme="majorHAnsi" w:hAnsiTheme="majorHAnsi"/>
        </w:rPr>
        <w:t xml:space="preserve">robbery, attempted robbery, assault GBH, wounding and aggravated burglary.  </w:t>
      </w:r>
    </w:p>
    <w:p w14:paraId="5803340D" w14:textId="77777777" w:rsidR="00867FC1" w:rsidRPr="00683A09" w:rsidRDefault="00867FC1" w:rsidP="002F728B">
      <w:pPr>
        <w:jc w:val="both"/>
        <w:rPr>
          <w:rFonts w:asciiTheme="majorHAnsi" w:hAnsiTheme="majorHAnsi"/>
        </w:rPr>
      </w:pPr>
    </w:p>
    <w:p w14:paraId="51574D42" w14:textId="57465E53" w:rsidR="00867FC1" w:rsidRPr="00683A09" w:rsidRDefault="005F323C" w:rsidP="002F728B">
      <w:pPr>
        <w:jc w:val="both"/>
        <w:rPr>
          <w:rFonts w:asciiTheme="majorHAnsi" w:hAnsiTheme="majorHAnsi"/>
        </w:rPr>
      </w:pPr>
      <w:r w:rsidRPr="00683A09">
        <w:rPr>
          <w:rFonts w:asciiTheme="majorHAnsi" w:hAnsiTheme="majorHAnsi"/>
        </w:rPr>
        <w:t xml:space="preserve">Several other </w:t>
      </w:r>
      <w:r w:rsidR="00F156FC">
        <w:rPr>
          <w:rFonts w:asciiTheme="majorHAnsi" w:hAnsiTheme="majorHAnsi"/>
        </w:rPr>
        <w:t xml:space="preserve">serious </w:t>
      </w:r>
      <w:r w:rsidRPr="00683A09">
        <w:rPr>
          <w:rFonts w:asciiTheme="majorHAnsi" w:hAnsiTheme="majorHAnsi"/>
        </w:rPr>
        <w:t xml:space="preserve">crimes did register notable decreases or increases, which can </w:t>
      </w:r>
      <w:r w:rsidR="001B4C41" w:rsidRPr="00683A09">
        <w:rPr>
          <w:rFonts w:asciiTheme="majorHAnsi" w:hAnsiTheme="majorHAnsi"/>
        </w:rPr>
        <w:t xml:space="preserve">indicate emerging problems or crime trends.  Those crimes which registered notable </w:t>
      </w:r>
      <w:r w:rsidR="001B4C41" w:rsidRPr="00683A09">
        <w:rPr>
          <w:rFonts w:asciiTheme="majorHAnsi" w:hAnsiTheme="majorHAnsi"/>
          <w:u w:val="single"/>
        </w:rPr>
        <w:t>decreases</w:t>
      </w:r>
      <w:r w:rsidR="001B4C41" w:rsidRPr="00683A09">
        <w:rPr>
          <w:rFonts w:asciiTheme="majorHAnsi" w:hAnsiTheme="majorHAnsi"/>
        </w:rPr>
        <w:t xml:space="preserve"> in 2017 were attempted murder, firearm offences, drug offences, </w:t>
      </w:r>
      <w:r w:rsidR="00111690" w:rsidRPr="00683A09">
        <w:rPr>
          <w:rFonts w:asciiTheme="majorHAnsi" w:hAnsiTheme="majorHAnsi"/>
        </w:rPr>
        <w:t xml:space="preserve">defilement, </w:t>
      </w:r>
      <w:r w:rsidR="001B4C41" w:rsidRPr="00683A09">
        <w:rPr>
          <w:rFonts w:asciiTheme="majorHAnsi" w:hAnsiTheme="majorHAnsi"/>
        </w:rPr>
        <w:t>assault ABH, threatening offences, and fraud.  The dec</w:t>
      </w:r>
      <w:r w:rsidR="009E13BC" w:rsidRPr="00683A09">
        <w:rPr>
          <w:rFonts w:asciiTheme="majorHAnsi" w:hAnsiTheme="majorHAnsi"/>
        </w:rPr>
        <w:t>reases in firearm and drug offences, of 31% (11) and 11% (21), respective</w:t>
      </w:r>
      <w:r w:rsidR="00642F5D" w:rsidRPr="00683A09">
        <w:rPr>
          <w:rFonts w:asciiTheme="majorHAnsi" w:hAnsiTheme="majorHAnsi"/>
        </w:rPr>
        <w:t>ly, are explored further under s</w:t>
      </w:r>
      <w:r w:rsidR="009E13BC" w:rsidRPr="00683A09">
        <w:rPr>
          <w:rFonts w:asciiTheme="majorHAnsi" w:hAnsiTheme="majorHAnsi"/>
        </w:rPr>
        <w:t>ection</w:t>
      </w:r>
      <w:r w:rsidR="00642F5D" w:rsidRPr="00683A09">
        <w:rPr>
          <w:rFonts w:asciiTheme="majorHAnsi" w:hAnsiTheme="majorHAnsi"/>
        </w:rPr>
        <w:t>s</w:t>
      </w:r>
      <w:r w:rsidR="009E13BC" w:rsidRPr="00683A09">
        <w:rPr>
          <w:rFonts w:asciiTheme="majorHAnsi" w:hAnsiTheme="majorHAnsi"/>
        </w:rPr>
        <w:t xml:space="preserve"> </w:t>
      </w:r>
      <w:r w:rsidR="00642F5D" w:rsidRPr="00683A09">
        <w:rPr>
          <w:rFonts w:asciiTheme="majorHAnsi" w:hAnsiTheme="majorHAnsi"/>
        </w:rPr>
        <w:t>7 &amp; 8</w:t>
      </w:r>
      <w:r w:rsidR="009E13BC" w:rsidRPr="00683A09">
        <w:rPr>
          <w:rFonts w:asciiTheme="majorHAnsi" w:hAnsiTheme="majorHAnsi"/>
        </w:rPr>
        <w:t>.</w:t>
      </w:r>
    </w:p>
    <w:p w14:paraId="1D3BB1DF" w14:textId="77777777" w:rsidR="00867FC1" w:rsidRPr="00683A09" w:rsidRDefault="00867FC1" w:rsidP="002F728B">
      <w:pPr>
        <w:jc w:val="both"/>
        <w:rPr>
          <w:rFonts w:asciiTheme="majorHAnsi" w:hAnsiTheme="majorHAnsi"/>
        </w:rPr>
      </w:pPr>
    </w:p>
    <w:p w14:paraId="624FCC1E" w14:textId="20FDD9F6" w:rsidR="009B4462" w:rsidRPr="00683A09" w:rsidRDefault="005F323C" w:rsidP="009B4462">
      <w:pPr>
        <w:jc w:val="both"/>
        <w:rPr>
          <w:rFonts w:asciiTheme="majorHAnsi" w:hAnsiTheme="majorHAnsi"/>
        </w:rPr>
      </w:pPr>
      <w:r w:rsidRPr="00683A09">
        <w:rPr>
          <w:rFonts w:asciiTheme="majorHAnsi" w:hAnsiTheme="majorHAnsi"/>
        </w:rPr>
        <w:t>The following</w:t>
      </w:r>
      <w:r w:rsidR="00111690" w:rsidRPr="00683A09">
        <w:rPr>
          <w:rFonts w:asciiTheme="majorHAnsi" w:hAnsiTheme="majorHAnsi"/>
        </w:rPr>
        <w:t xml:space="preserve"> serious</w:t>
      </w:r>
      <w:r w:rsidR="001B4C41" w:rsidRPr="00683A09">
        <w:rPr>
          <w:rFonts w:asciiTheme="majorHAnsi" w:hAnsiTheme="majorHAnsi"/>
        </w:rPr>
        <w:t xml:space="preserve"> crimes registered </w:t>
      </w:r>
      <w:r w:rsidR="00111690" w:rsidRPr="00683A09">
        <w:rPr>
          <w:rFonts w:asciiTheme="majorHAnsi" w:hAnsiTheme="majorHAnsi"/>
        </w:rPr>
        <w:t xml:space="preserve">notable </w:t>
      </w:r>
      <w:r w:rsidR="00111690" w:rsidRPr="00683A09">
        <w:rPr>
          <w:rFonts w:asciiTheme="majorHAnsi" w:hAnsiTheme="majorHAnsi"/>
          <w:u w:val="single"/>
        </w:rPr>
        <w:t>increases</w:t>
      </w:r>
      <w:r w:rsidR="00111690" w:rsidRPr="00683A09">
        <w:rPr>
          <w:rFonts w:asciiTheme="majorHAnsi" w:hAnsiTheme="majorHAnsi"/>
        </w:rPr>
        <w:t xml:space="preserve"> in 2017, namely, rape, </w:t>
      </w:r>
      <w:r w:rsidR="002F728B" w:rsidRPr="00683A09">
        <w:rPr>
          <w:rFonts w:asciiTheme="majorHAnsi" w:hAnsiTheme="majorHAnsi"/>
        </w:rPr>
        <w:t xml:space="preserve">other sexual offences (pornography, gross indecency, incest) arson and burglary and burglary-related offences (burglary, attempted burglary and criminal trespass). Burglary is discussed </w:t>
      </w:r>
      <w:r w:rsidRPr="00683A09">
        <w:rPr>
          <w:rFonts w:asciiTheme="majorHAnsi" w:hAnsiTheme="majorHAnsi"/>
        </w:rPr>
        <w:t>at length</w:t>
      </w:r>
      <w:r w:rsidR="002F728B" w:rsidRPr="00683A09">
        <w:rPr>
          <w:rFonts w:asciiTheme="majorHAnsi" w:hAnsiTheme="majorHAnsi"/>
        </w:rPr>
        <w:t xml:space="preserve"> in </w:t>
      </w:r>
      <w:r w:rsidR="00642F5D" w:rsidRPr="00683A09">
        <w:rPr>
          <w:rFonts w:asciiTheme="majorHAnsi" w:hAnsiTheme="majorHAnsi"/>
        </w:rPr>
        <w:t>s</w:t>
      </w:r>
      <w:r w:rsidR="009B4462" w:rsidRPr="00683A09">
        <w:rPr>
          <w:rFonts w:asciiTheme="majorHAnsi" w:hAnsiTheme="majorHAnsi"/>
        </w:rPr>
        <w:t xml:space="preserve">ection </w:t>
      </w:r>
      <w:r w:rsidR="00642F5D" w:rsidRPr="00683A09">
        <w:rPr>
          <w:rFonts w:asciiTheme="majorHAnsi" w:hAnsiTheme="majorHAnsi"/>
        </w:rPr>
        <w:t>6</w:t>
      </w:r>
      <w:r w:rsidRPr="00683A09">
        <w:rPr>
          <w:rFonts w:asciiTheme="majorHAnsi" w:hAnsiTheme="majorHAnsi"/>
        </w:rPr>
        <w:t>,</w:t>
      </w:r>
      <w:r w:rsidR="009B4462" w:rsidRPr="00683A09">
        <w:rPr>
          <w:rFonts w:asciiTheme="majorHAnsi" w:hAnsiTheme="majorHAnsi"/>
        </w:rPr>
        <w:t xml:space="preserve"> while </w:t>
      </w:r>
      <w:r w:rsidRPr="00683A09">
        <w:rPr>
          <w:rFonts w:asciiTheme="majorHAnsi" w:hAnsiTheme="majorHAnsi"/>
        </w:rPr>
        <w:t xml:space="preserve">the increase in </w:t>
      </w:r>
      <w:r w:rsidR="009B4462" w:rsidRPr="00683A09">
        <w:rPr>
          <w:rFonts w:asciiTheme="majorHAnsi" w:hAnsiTheme="majorHAnsi"/>
        </w:rPr>
        <w:t>se</w:t>
      </w:r>
      <w:r w:rsidRPr="00683A09">
        <w:rPr>
          <w:rFonts w:asciiTheme="majorHAnsi" w:hAnsiTheme="majorHAnsi"/>
        </w:rPr>
        <w:t>xual offence reporting</w:t>
      </w:r>
      <w:r w:rsidR="00C41411">
        <w:rPr>
          <w:rFonts w:asciiTheme="majorHAnsi" w:hAnsiTheme="majorHAnsi"/>
        </w:rPr>
        <w:t xml:space="preserve"> as it relates to domestic violence and child protection issues</w:t>
      </w:r>
      <w:r w:rsidRPr="00683A09">
        <w:rPr>
          <w:rFonts w:asciiTheme="majorHAnsi" w:hAnsiTheme="majorHAnsi"/>
        </w:rPr>
        <w:t xml:space="preserve"> is</w:t>
      </w:r>
      <w:r w:rsidR="00642F5D" w:rsidRPr="00683A09">
        <w:rPr>
          <w:rFonts w:asciiTheme="majorHAnsi" w:hAnsiTheme="majorHAnsi"/>
        </w:rPr>
        <w:t xml:space="preserve"> addressed in s</w:t>
      </w:r>
      <w:r w:rsidR="009B4462" w:rsidRPr="00683A09">
        <w:rPr>
          <w:rFonts w:asciiTheme="majorHAnsi" w:hAnsiTheme="majorHAnsi"/>
        </w:rPr>
        <w:t xml:space="preserve">ection </w:t>
      </w:r>
      <w:r w:rsidR="00642F5D" w:rsidRPr="00683A09">
        <w:rPr>
          <w:rFonts w:asciiTheme="majorHAnsi" w:hAnsiTheme="majorHAnsi"/>
        </w:rPr>
        <w:t>9</w:t>
      </w:r>
      <w:r w:rsidR="009B4462" w:rsidRPr="00683A09">
        <w:rPr>
          <w:rFonts w:asciiTheme="majorHAnsi" w:hAnsiTheme="majorHAnsi"/>
        </w:rPr>
        <w:t xml:space="preserve">.  </w:t>
      </w:r>
    </w:p>
    <w:p w14:paraId="7C52160E" w14:textId="77777777" w:rsidR="0071489C" w:rsidRPr="00683A09" w:rsidRDefault="0071489C" w:rsidP="009B4462">
      <w:pPr>
        <w:jc w:val="both"/>
        <w:rPr>
          <w:rFonts w:asciiTheme="majorHAnsi" w:hAnsiTheme="majorHAnsi"/>
        </w:rPr>
      </w:pPr>
    </w:p>
    <w:p w14:paraId="39F06ECB" w14:textId="459F63E5" w:rsidR="000112F8" w:rsidRPr="00683A09" w:rsidRDefault="009B4462" w:rsidP="009B4462">
      <w:pPr>
        <w:jc w:val="both"/>
        <w:rPr>
          <w:rFonts w:asciiTheme="majorHAnsi" w:hAnsiTheme="majorHAnsi"/>
        </w:rPr>
      </w:pPr>
      <w:r w:rsidRPr="00683A09">
        <w:rPr>
          <w:rFonts w:asciiTheme="majorHAnsi" w:hAnsiTheme="majorHAnsi"/>
        </w:rPr>
        <w:t>A</w:t>
      </w:r>
      <w:r w:rsidR="005F323C" w:rsidRPr="00683A09">
        <w:rPr>
          <w:rFonts w:asciiTheme="majorHAnsi" w:hAnsiTheme="majorHAnsi"/>
        </w:rPr>
        <w:t xml:space="preserve">rson registered </w:t>
      </w:r>
      <w:r w:rsidR="00F156FC">
        <w:rPr>
          <w:rFonts w:asciiTheme="majorHAnsi" w:hAnsiTheme="majorHAnsi"/>
        </w:rPr>
        <w:t>an</w:t>
      </w:r>
      <w:r w:rsidR="005F323C" w:rsidRPr="00683A09">
        <w:rPr>
          <w:rFonts w:asciiTheme="majorHAnsi" w:hAnsiTheme="majorHAnsi"/>
        </w:rPr>
        <w:t xml:space="preserve"> increase in 2017 (5 incidents, or 56% increase), due to a</w:t>
      </w:r>
      <w:r w:rsidRPr="00683A09">
        <w:rPr>
          <w:rFonts w:asciiTheme="majorHAnsi" w:hAnsiTheme="majorHAnsi"/>
        </w:rPr>
        <w:t xml:space="preserve"> series</w:t>
      </w:r>
      <w:r w:rsidR="005F323C" w:rsidRPr="00683A09">
        <w:rPr>
          <w:rFonts w:asciiTheme="majorHAnsi" w:hAnsiTheme="majorHAnsi"/>
        </w:rPr>
        <w:t xml:space="preserve"> of vehicle arsons </w:t>
      </w:r>
      <w:r w:rsidR="00CA5930" w:rsidRPr="00683A09">
        <w:rPr>
          <w:rFonts w:asciiTheme="majorHAnsi" w:hAnsiTheme="majorHAnsi"/>
        </w:rPr>
        <w:t>that occurred throughout the year</w:t>
      </w:r>
      <w:r w:rsidRPr="00683A09">
        <w:rPr>
          <w:rFonts w:asciiTheme="majorHAnsi" w:hAnsiTheme="majorHAnsi"/>
        </w:rPr>
        <w:t>.</w:t>
      </w:r>
      <w:r w:rsidR="00CA5930" w:rsidRPr="00683A09">
        <w:rPr>
          <w:rFonts w:asciiTheme="majorHAnsi" w:hAnsiTheme="majorHAnsi"/>
        </w:rPr>
        <w:t xml:space="preserve">  No one</w:t>
      </w:r>
      <w:r w:rsidR="00F156FC">
        <w:rPr>
          <w:rFonts w:asciiTheme="majorHAnsi" w:hAnsiTheme="majorHAnsi"/>
        </w:rPr>
        <w:t xml:space="preserve"> was injured in these incidents</w:t>
      </w:r>
      <w:r w:rsidR="00226BCA" w:rsidRPr="00683A09">
        <w:rPr>
          <w:rFonts w:asciiTheme="majorHAnsi" w:hAnsiTheme="majorHAnsi"/>
        </w:rPr>
        <w:t>.</w:t>
      </w:r>
      <w:r w:rsidR="00CA5930" w:rsidRPr="00683A09">
        <w:rPr>
          <w:rFonts w:asciiTheme="majorHAnsi" w:hAnsiTheme="majorHAnsi"/>
        </w:rPr>
        <w:t xml:space="preserve"> </w:t>
      </w:r>
    </w:p>
    <w:p w14:paraId="5C47B8B0" w14:textId="77777777" w:rsidR="007F57FA" w:rsidRPr="00683A09" w:rsidRDefault="007F57FA" w:rsidP="002F728B">
      <w:pPr>
        <w:jc w:val="both"/>
        <w:rPr>
          <w:rFonts w:asciiTheme="majorHAnsi" w:hAnsiTheme="majorHAnsi"/>
        </w:rPr>
      </w:pPr>
    </w:p>
    <w:p w14:paraId="46853046" w14:textId="770B0186" w:rsidR="007F57FA" w:rsidRPr="00683A09" w:rsidRDefault="00E86B1D" w:rsidP="002F728B">
      <w:pPr>
        <w:jc w:val="both"/>
        <w:rPr>
          <w:rFonts w:asciiTheme="majorHAnsi" w:hAnsiTheme="majorHAnsi"/>
          <w:i/>
        </w:rPr>
      </w:pPr>
      <w:r w:rsidRPr="00683A09">
        <w:rPr>
          <w:rFonts w:asciiTheme="majorHAnsi" w:hAnsiTheme="majorHAnsi"/>
          <w:i/>
        </w:rPr>
        <w:t>Overview: Other Crimes</w:t>
      </w:r>
    </w:p>
    <w:p w14:paraId="47A22576" w14:textId="77777777" w:rsidR="00B7754A" w:rsidRPr="00683A09" w:rsidRDefault="00B7754A" w:rsidP="002F728B">
      <w:pPr>
        <w:jc w:val="both"/>
        <w:rPr>
          <w:rFonts w:asciiTheme="majorHAnsi" w:hAnsiTheme="majorHAnsi"/>
        </w:rPr>
      </w:pPr>
    </w:p>
    <w:p w14:paraId="6B4AC921" w14:textId="1398E157" w:rsidR="007825AC" w:rsidRPr="00683A09" w:rsidRDefault="007825AC" w:rsidP="002F728B">
      <w:pPr>
        <w:jc w:val="both"/>
        <w:rPr>
          <w:rFonts w:asciiTheme="majorHAnsi" w:hAnsiTheme="majorHAnsi"/>
        </w:rPr>
      </w:pPr>
      <w:r w:rsidRPr="00683A09">
        <w:rPr>
          <w:rFonts w:asciiTheme="majorHAnsi" w:hAnsiTheme="majorHAnsi"/>
        </w:rPr>
        <w:t xml:space="preserve">Other Crimes account for </w:t>
      </w:r>
      <w:r w:rsidR="001061D5">
        <w:rPr>
          <w:rFonts w:asciiTheme="majorHAnsi" w:hAnsiTheme="majorHAnsi"/>
        </w:rPr>
        <w:t>2117</w:t>
      </w:r>
      <w:r w:rsidR="00F156FC">
        <w:rPr>
          <w:rFonts w:asciiTheme="majorHAnsi" w:hAnsiTheme="majorHAnsi"/>
        </w:rPr>
        <w:t xml:space="preserve"> (</w:t>
      </w:r>
      <w:r w:rsidR="00435AD1">
        <w:rPr>
          <w:rFonts w:asciiTheme="majorHAnsi" w:hAnsiTheme="majorHAnsi"/>
        </w:rPr>
        <w:t>55</w:t>
      </w:r>
      <w:r w:rsidRPr="00683A09">
        <w:rPr>
          <w:rFonts w:asciiTheme="majorHAnsi" w:hAnsiTheme="majorHAnsi"/>
        </w:rPr>
        <w:t>%</w:t>
      </w:r>
      <w:r w:rsidR="00F156FC">
        <w:rPr>
          <w:rFonts w:asciiTheme="majorHAnsi" w:hAnsiTheme="majorHAnsi"/>
        </w:rPr>
        <w:t>)</w:t>
      </w:r>
      <w:r w:rsidRPr="00683A09">
        <w:rPr>
          <w:rFonts w:asciiTheme="majorHAnsi" w:hAnsiTheme="majorHAnsi"/>
        </w:rPr>
        <w:t xml:space="preserve"> of all crimes committed in the Cayman Islands in 2017. </w:t>
      </w:r>
      <w:r w:rsidR="00683A09">
        <w:rPr>
          <w:rFonts w:asciiTheme="majorHAnsi" w:hAnsiTheme="majorHAnsi"/>
        </w:rPr>
        <w:t>These statistics indicate</w:t>
      </w:r>
      <w:r w:rsidR="0071489C" w:rsidRPr="00683A09">
        <w:rPr>
          <w:rFonts w:asciiTheme="majorHAnsi" w:hAnsiTheme="majorHAnsi"/>
        </w:rPr>
        <w:t xml:space="preserve"> notable increases in the number of reports of motor vehicle thefts,</w:t>
      </w:r>
      <w:r w:rsidR="0071489C" w:rsidRPr="00683A09">
        <w:rPr>
          <w:rStyle w:val="FootnoteReference"/>
          <w:rFonts w:asciiTheme="majorHAnsi" w:hAnsiTheme="majorHAnsi"/>
        </w:rPr>
        <w:footnoteReference w:id="3"/>
      </w:r>
      <w:r w:rsidR="0071489C" w:rsidRPr="00683A09">
        <w:rPr>
          <w:rFonts w:asciiTheme="majorHAnsi" w:hAnsiTheme="majorHAnsi"/>
        </w:rPr>
        <w:t xml:space="preserve"> but a decrease in theft reports overall. </w:t>
      </w:r>
      <w:r w:rsidR="008D4E04" w:rsidRPr="00683A09">
        <w:rPr>
          <w:rFonts w:asciiTheme="majorHAnsi" w:hAnsiTheme="majorHAnsi"/>
        </w:rPr>
        <w:t xml:space="preserve">Anti-social behavior reports decreased significantly, but were countered </w:t>
      </w:r>
      <w:r w:rsidR="00D67E08">
        <w:rPr>
          <w:rFonts w:asciiTheme="majorHAnsi" w:hAnsiTheme="majorHAnsi"/>
        </w:rPr>
        <w:t xml:space="preserve">in part </w:t>
      </w:r>
      <w:r w:rsidR="008D4E04" w:rsidRPr="00683A09">
        <w:rPr>
          <w:rFonts w:asciiTheme="majorHAnsi" w:hAnsiTheme="majorHAnsi"/>
        </w:rPr>
        <w:t xml:space="preserve">by an increase in disorder offences. </w:t>
      </w:r>
      <w:r w:rsidR="0040032A">
        <w:rPr>
          <w:rFonts w:asciiTheme="majorHAnsi" w:hAnsiTheme="majorHAnsi"/>
        </w:rPr>
        <w:t>Threatening offences (including Threats to Kill, Harassment) have gone down</w:t>
      </w:r>
      <w:r w:rsidR="008D4E04" w:rsidRPr="00683A09">
        <w:rPr>
          <w:rFonts w:asciiTheme="majorHAnsi" w:hAnsiTheme="majorHAnsi"/>
        </w:rPr>
        <w:t xml:space="preserve">, but </w:t>
      </w:r>
      <w:r w:rsidR="006804F8" w:rsidRPr="00683A09">
        <w:rPr>
          <w:rFonts w:asciiTheme="majorHAnsi" w:hAnsiTheme="majorHAnsi"/>
        </w:rPr>
        <w:t>threatening or fraudulent behavior in the online environment (in violation of the ICT Law)</w:t>
      </w:r>
      <w:r w:rsidR="008D4E04" w:rsidRPr="00683A09">
        <w:rPr>
          <w:rFonts w:asciiTheme="majorHAnsi" w:hAnsiTheme="majorHAnsi"/>
        </w:rPr>
        <w:t xml:space="preserve"> increased </w:t>
      </w:r>
      <w:r w:rsidR="006804F8" w:rsidRPr="00683A09">
        <w:rPr>
          <w:rFonts w:asciiTheme="majorHAnsi" w:hAnsiTheme="majorHAnsi"/>
        </w:rPr>
        <w:t xml:space="preserve">steadily </w:t>
      </w:r>
      <w:r w:rsidR="008D4E04" w:rsidRPr="00683A09">
        <w:rPr>
          <w:rFonts w:asciiTheme="majorHAnsi" w:hAnsiTheme="majorHAnsi"/>
        </w:rPr>
        <w:t>for the third year in a row.</w:t>
      </w:r>
    </w:p>
    <w:p w14:paraId="5996A4C3" w14:textId="77777777" w:rsidR="008D4E04" w:rsidRPr="00683A09" w:rsidRDefault="008D4E04" w:rsidP="002F728B">
      <w:pPr>
        <w:jc w:val="both"/>
        <w:rPr>
          <w:rFonts w:asciiTheme="majorHAnsi" w:hAnsiTheme="majorHAnsi"/>
        </w:rPr>
      </w:pPr>
    </w:p>
    <w:p w14:paraId="64B08ECB" w14:textId="199F1E80" w:rsidR="002F7CF3" w:rsidRPr="00683A09" w:rsidRDefault="006804F8" w:rsidP="002F728B">
      <w:pPr>
        <w:jc w:val="both"/>
        <w:rPr>
          <w:rFonts w:asciiTheme="majorHAnsi" w:hAnsiTheme="majorHAnsi"/>
        </w:rPr>
      </w:pPr>
      <w:r w:rsidRPr="00683A09">
        <w:rPr>
          <w:rFonts w:asciiTheme="majorHAnsi" w:hAnsiTheme="majorHAnsi"/>
        </w:rPr>
        <w:t xml:space="preserve">There were fewer marine offences reported, but a </w:t>
      </w:r>
      <w:r w:rsidR="0040032A">
        <w:rPr>
          <w:rFonts w:asciiTheme="majorHAnsi" w:hAnsiTheme="majorHAnsi"/>
        </w:rPr>
        <w:t>marked</w:t>
      </w:r>
      <w:r w:rsidRPr="00683A09">
        <w:rPr>
          <w:rFonts w:asciiTheme="majorHAnsi" w:hAnsiTheme="majorHAnsi"/>
        </w:rPr>
        <w:t xml:space="preserve"> increase in the number of animal offences.  This increase can be attributed to a steady influx of ferocious dog/dog dangerously out of control reports </w:t>
      </w:r>
      <w:r w:rsidR="00683A09">
        <w:rPr>
          <w:rFonts w:asciiTheme="majorHAnsi" w:hAnsiTheme="majorHAnsi"/>
        </w:rPr>
        <w:t xml:space="preserve">received </w:t>
      </w:r>
      <w:r w:rsidRPr="00683A09">
        <w:rPr>
          <w:rFonts w:asciiTheme="majorHAnsi" w:hAnsiTheme="majorHAnsi"/>
        </w:rPr>
        <w:t xml:space="preserve">throughout the year, which often involved </w:t>
      </w:r>
      <w:r w:rsidRPr="00683A09">
        <w:rPr>
          <w:rFonts w:asciiTheme="majorHAnsi" w:hAnsiTheme="majorHAnsi"/>
        </w:rPr>
        <w:lastRenderedPageBreak/>
        <w:t xml:space="preserve">licensed animals as well as strays.  </w:t>
      </w:r>
      <w:r w:rsidR="002F7CF3" w:rsidRPr="00683A09">
        <w:rPr>
          <w:rFonts w:asciiTheme="majorHAnsi" w:hAnsiTheme="majorHAnsi"/>
        </w:rPr>
        <w:t>Serious dog bite injuries were reported in some of these incidents, which also involved children.</w:t>
      </w:r>
      <w:r w:rsidR="002F7CF3" w:rsidRPr="00683A09">
        <w:rPr>
          <w:rStyle w:val="FootnoteReference"/>
          <w:rFonts w:asciiTheme="majorHAnsi" w:hAnsiTheme="majorHAnsi"/>
        </w:rPr>
        <w:footnoteReference w:id="4"/>
      </w:r>
      <w:r w:rsidR="002F7CF3" w:rsidRPr="00683A09">
        <w:rPr>
          <w:rFonts w:asciiTheme="majorHAnsi" w:hAnsiTheme="majorHAnsi"/>
        </w:rPr>
        <w:t xml:space="preserve">  </w:t>
      </w:r>
    </w:p>
    <w:p w14:paraId="453A79DB" w14:textId="77777777" w:rsidR="002F7CF3" w:rsidRPr="00683A09" w:rsidRDefault="002F7CF3" w:rsidP="002F728B">
      <w:pPr>
        <w:jc w:val="both"/>
        <w:rPr>
          <w:rFonts w:asciiTheme="majorHAnsi" w:hAnsiTheme="majorHAnsi"/>
        </w:rPr>
      </w:pPr>
    </w:p>
    <w:p w14:paraId="72779267" w14:textId="77777777" w:rsidR="00E86B1D" w:rsidRPr="00683A09" w:rsidRDefault="002F7CF3" w:rsidP="002F728B">
      <w:pPr>
        <w:jc w:val="both"/>
        <w:rPr>
          <w:rFonts w:asciiTheme="majorHAnsi" w:hAnsiTheme="majorHAnsi"/>
        </w:rPr>
      </w:pPr>
      <w:r w:rsidRPr="00683A09">
        <w:rPr>
          <w:rFonts w:asciiTheme="majorHAnsi" w:hAnsiTheme="majorHAnsi"/>
        </w:rPr>
        <w:t xml:space="preserve">The RCIPS partners with other agencies, namely the DOE and DOA, as a secondary enforcer of the Animal and Marine Conservation Laws. It does, however, take a lead investigative role in </w:t>
      </w:r>
      <w:r w:rsidR="00E86B1D" w:rsidRPr="00683A09">
        <w:rPr>
          <w:rFonts w:asciiTheme="majorHAnsi" w:hAnsiTheme="majorHAnsi"/>
        </w:rPr>
        <w:t xml:space="preserve">animal </w:t>
      </w:r>
      <w:r w:rsidRPr="00683A09">
        <w:rPr>
          <w:rFonts w:asciiTheme="majorHAnsi" w:hAnsiTheme="majorHAnsi"/>
        </w:rPr>
        <w:t xml:space="preserve">incidents where people have been injured, while the DOA </w:t>
      </w:r>
      <w:r w:rsidR="00E86B1D" w:rsidRPr="00683A09">
        <w:rPr>
          <w:rFonts w:asciiTheme="majorHAnsi" w:hAnsiTheme="majorHAnsi"/>
        </w:rPr>
        <w:t>takes a lead role in animal cruelty complaints.</w:t>
      </w:r>
      <w:r w:rsidRPr="00683A09">
        <w:rPr>
          <w:rFonts w:asciiTheme="majorHAnsi" w:hAnsiTheme="majorHAnsi"/>
        </w:rPr>
        <w:t xml:space="preserve"> </w:t>
      </w:r>
    </w:p>
    <w:p w14:paraId="4267D175" w14:textId="77777777" w:rsidR="00E86B1D" w:rsidRPr="00683A09" w:rsidRDefault="00E86B1D" w:rsidP="002F728B">
      <w:pPr>
        <w:jc w:val="both"/>
        <w:rPr>
          <w:rFonts w:asciiTheme="majorHAnsi" w:hAnsiTheme="majorHAnsi"/>
        </w:rPr>
      </w:pPr>
    </w:p>
    <w:p w14:paraId="3C7ECEED" w14:textId="30523CAF" w:rsidR="00334CBD" w:rsidRPr="00683A09" w:rsidRDefault="00E86B1D" w:rsidP="002F728B">
      <w:pPr>
        <w:jc w:val="both"/>
        <w:rPr>
          <w:rFonts w:asciiTheme="majorHAnsi" w:hAnsiTheme="majorHAnsi"/>
        </w:rPr>
      </w:pPr>
      <w:r w:rsidRPr="00683A09">
        <w:rPr>
          <w:rFonts w:asciiTheme="majorHAnsi" w:hAnsiTheme="majorHAnsi"/>
        </w:rPr>
        <w:t>The RCIPS</w:t>
      </w:r>
      <w:r w:rsidR="002F7CF3" w:rsidRPr="00683A09">
        <w:rPr>
          <w:rFonts w:asciiTheme="majorHAnsi" w:hAnsiTheme="majorHAnsi"/>
        </w:rPr>
        <w:t xml:space="preserve"> has joined efforts with DOA to raise awareness among dog-owners of their obligations, and </w:t>
      </w:r>
      <w:r w:rsidRPr="00683A09">
        <w:rPr>
          <w:rFonts w:asciiTheme="majorHAnsi" w:hAnsiTheme="majorHAnsi"/>
        </w:rPr>
        <w:t xml:space="preserve">furthering both public education and enforcement priorities within </w:t>
      </w:r>
      <w:r w:rsidR="002F7CF3" w:rsidRPr="00683A09">
        <w:rPr>
          <w:rFonts w:asciiTheme="majorHAnsi" w:hAnsiTheme="majorHAnsi"/>
        </w:rPr>
        <w:t xml:space="preserve">this partnership </w:t>
      </w:r>
      <w:r w:rsidR="00D67E08">
        <w:rPr>
          <w:rFonts w:asciiTheme="majorHAnsi" w:hAnsiTheme="majorHAnsi"/>
        </w:rPr>
        <w:t>is</w:t>
      </w:r>
      <w:r w:rsidR="002F7CF3" w:rsidRPr="00683A09">
        <w:rPr>
          <w:rFonts w:asciiTheme="majorHAnsi" w:hAnsiTheme="majorHAnsi"/>
        </w:rPr>
        <w:t xml:space="preserve"> a </w:t>
      </w:r>
      <w:r w:rsidRPr="00683A09">
        <w:rPr>
          <w:rFonts w:asciiTheme="majorHAnsi" w:hAnsiTheme="majorHAnsi"/>
        </w:rPr>
        <w:t>priority within the Community Policing Programme.</w:t>
      </w:r>
    </w:p>
    <w:p w14:paraId="67D53223" w14:textId="77777777" w:rsidR="00334CBD" w:rsidRPr="00683A09" w:rsidRDefault="00334CBD" w:rsidP="002F728B">
      <w:pPr>
        <w:jc w:val="both"/>
        <w:rPr>
          <w:rFonts w:asciiTheme="majorHAnsi" w:hAnsiTheme="majorHAnsi"/>
        </w:rPr>
      </w:pPr>
    </w:p>
    <w:p w14:paraId="6A710778" w14:textId="663798CE" w:rsidR="00B7754A" w:rsidRPr="00683A09" w:rsidRDefault="00F3608B" w:rsidP="002F728B">
      <w:pPr>
        <w:jc w:val="both"/>
        <w:rPr>
          <w:rFonts w:asciiTheme="majorHAnsi" w:hAnsiTheme="majorHAnsi"/>
          <w:b/>
        </w:rPr>
      </w:pPr>
      <w:r w:rsidRPr="00683A09">
        <w:rPr>
          <w:rFonts w:asciiTheme="majorHAnsi" w:hAnsiTheme="majorHAnsi"/>
          <w:b/>
        </w:rPr>
        <w:t>6</w:t>
      </w:r>
      <w:r w:rsidR="009A776D" w:rsidRPr="00683A09">
        <w:rPr>
          <w:rFonts w:asciiTheme="majorHAnsi" w:hAnsiTheme="majorHAnsi"/>
          <w:b/>
        </w:rPr>
        <w:t xml:space="preserve">. </w:t>
      </w:r>
      <w:r w:rsidR="00B7754A" w:rsidRPr="00683A09">
        <w:rPr>
          <w:rFonts w:asciiTheme="majorHAnsi" w:hAnsiTheme="majorHAnsi"/>
          <w:b/>
        </w:rPr>
        <w:t>Burglary</w:t>
      </w:r>
    </w:p>
    <w:p w14:paraId="0D3881C7" w14:textId="77777777" w:rsidR="00B7754A" w:rsidRPr="00683A09" w:rsidRDefault="00B7754A" w:rsidP="002F728B">
      <w:pPr>
        <w:jc w:val="both"/>
        <w:rPr>
          <w:rFonts w:asciiTheme="majorHAnsi" w:hAnsiTheme="majorHAnsi"/>
        </w:rPr>
      </w:pPr>
    </w:p>
    <w:p w14:paraId="0243E370" w14:textId="6C68F1E7" w:rsidR="00645F11" w:rsidRPr="00683A09" w:rsidRDefault="00B7754A" w:rsidP="002F728B">
      <w:pPr>
        <w:jc w:val="both"/>
        <w:rPr>
          <w:rFonts w:asciiTheme="majorHAnsi" w:hAnsiTheme="majorHAnsi"/>
        </w:rPr>
      </w:pPr>
      <w:r w:rsidRPr="00683A09">
        <w:rPr>
          <w:rFonts w:asciiTheme="majorHAnsi" w:hAnsiTheme="majorHAnsi"/>
        </w:rPr>
        <w:t xml:space="preserve">The serious crime with the greatest number of victims </w:t>
      </w:r>
      <w:r w:rsidR="00645F11" w:rsidRPr="00683A09">
        <w:rPr>
          <w:rFonts w:asciiTheme="majorHAnsi" w:hAnsiTheme="majorHAnsi"/>
        </w:rPr>
        <w:t>in the Cayman Islands in 2017 is B</w:t>
      </w:r>
      <w:r w:rsidRPr="00683A09">
        <w:rPr>
          <w:rFonts w:asciiTheme="majorHAnsi" w:hAnsiTheme="majorHAnsi"/>
        </w:rPr>
        <w:t>urglary</w:t>
      </w:r>
      <w:r w:rsidR="00E6640D" w:rsidRPr="00683A09">
        <w:rPr>
          <w:rFonts w:asciiTheme="majorHAnsi" w:hAnsiTheme="majorHAnsi"/>
        </w:rPr>
        <w:t>.</w:t>
      </w:r>
      <w:r w:rsidR="00645F11" w:rsidRPr="00683A09">
        <w:rPr>
          <w:rFonts w:asciiTheme="majorHAnsi" w:hAnsiTheme="majorHAnsi"/>
        </w:rPr>
        <w:t xml:space="preserve"> </w:t>
      </w:r>
      <w:r w:rsidR="00932C82">
        <w:rPr>
          <w:rFonts w:asciiTheme="majorHAnsi" w:hAnsiTheme="majorHAnsi"/>
        </w:rPr>
        <w:t xml:space="preserve">In 2017 the total number of burglaries was 515, and the total number of other burglary-related offences was 242. </w:t>
      </w:r>
      <w:r w:rsidR="00E6640D" w:rsidRPr="00683A09">
        <w:rPr>
          <w:rFonts w:asciiTheme="majorHAnsi" w:hAnsiTheme="majorHAnsi"/>
        </w:rPr>
        <w:t>Burglary and</w:t>
      </w:r>
      <w:r w:rsidR="00645F11" w:rsidRPr="00683A09">
        <w:rPr>
          <w:rFonts w:asciiTheme="majorHAnsi" w:hAnsiTheme="majorHAnsi"/>
        </w:rPr>
        <w:t xml:space="preserve"> </w:t>
      </w:r>
      <w:r w:rsidR="00E6640D" w:rsidRPr="00683A09">
        <w:rPr>
          <w:rFonts w:asciiTheme="majorHAnsi" w:hAnsiTheme="majorHAnsi"/>
        </w:rPr>
        <w:t xml:space="preserve">Attempted Burglary </w:t>
      </w:r>
      <w:r w:rsidR="00645F11" w:rsidRPr="00683A09">
        <w:rPr>
          <w:rFonts w:asciiTheme="majorHAnsi" w:hAnsiTheme="majorHAnsi"/>
        </w:rPr>
        <w:t>increas</w:t>
      </w:r>
      <w:r w:rsidR="00E6640D" w:rsidRPr="00683A09">
        <w:rPr>
          <w:rFonts w:asciiTheme="majorHAnsi" w:hAnsiTheme="majorHAnsi"/>
        </w:rPr>
        <w:t xml:space="preserve">ed notably in 2017, by 76 (17%) and 19 (31%), </w:t>
      </w:r>
      <w:r w:rsidR="00645F11" w:rsidRPr="00683A09">
        <w:rPr>
          <w:rFonts w:asciiTheme="majorHAnsi" w:hAnsiTheme="majorHAnsi"/>
        </w:rPr>
        <w:t>respectively.</w:t>
      </w:r>
      <w:r w:rsidR="00932C82">
        <w:rPr>
          <w:rFonts w:asciiTheme="majorHAnsi" w:hAnsiTheme="majorHAnsi"/>
        </w:rPr>
        <w:t xml:space="preserve"> </w:t>
      </w:r>
      <w:r w:rsidR="00645F11" w:rsidRPr="00683A09">
        <w:rPr>
          <w:rFonts w:asciiTheme="majorHAnsi" w:hAnsiTheme="majorHAnsi"/>
        </w:rPr>
        <w:t xml:space="preserve"> </w:t>
      </w:r>
      <w:r w:rsidR="00932C82">
        <w:rPr>
          <w:rFonts w:asciiTheme="majorHAnsi" w:hAnsiTheme="majorHAnsi"/>
        </w:rPr>
        <w:t>Also of note was a steep increase in Criminal Trespass, by 63 (70%).</w:t>
      </w:r>
    </w:p>
    <w:p w14:paraId="1A8AE79D" w14:textId="77777777" w:rsidR="00645F11" w:rsidRPr="00683A09" w:rsidRDefault="00645F11" w:rsidP="002F728B">
      <w:pPr>
        <w:jc w:val="both"/>
        <w:rPr>
          <w:rFonts w:asciiTheme="majorHAnsi" w:hAnsiTheme="majorHAnsi"/>
        </w:rPr>
      </w:pPr>
    </w:p>
    <w:p w14:paraId="7EAE106E" w14:textId="437F6868" w:rsidR="00E6640D" w:rsidRPr="00683A09" w:rsidRDefault="00645F11" w:rsidP="002F728B">
      <w:pPr>
        <w:jc w:val="both"/>
        <w:rPr>
          <w:rFonts w:asciiTheme="majorHAnsi" w:hAnsiTheme="majorHAnsi"/>
        </w:rPr>
      </w:pPr>
      <w:r w:rsidRPr="00683A09">
        <w:rPr>
          <w:rFonts w:asciiTheme="majorHAnsi" w:hAnsiTheme="majorHAnsi"/>
        </w:rPr>
        <w:t xml:space="preserve">Burglaries affect all districts throughout the islands, and during certain periods in 2017, specific areas experienced marked increases in these offences.  During the spring, for instance, </w:t>
      </w:r>
      <w:r w:rsidR="00D8355E" w:rsidRPr="00683A09">
        <w:rPr>
          <w:rFonts w:asciiTheme="majorHAnsi" w:hAnsiTheme="majorHAnsi"/>
        </w:rPr>
        <w:t>a wave of burglaries affected Bodden Town, most of which fit a similar pattern and were found to have been committed by the same group of individuals.</w:t>
      </w:r>
      <w:r w:rsidR="00D8355E" w:rsidRPr="00683A09">
        <w:rPr>
          <w:rStyle w:val="FootnoteReference"/>
          <w:rFonts w:asciiTheme="majorHAnsi" w:hAnsiTheme="majorHAnsi"/>
        </w:rPr>
        <w:footnoteReference w:id="5"/>
      </w:r>
      <w:r w:rsidR="002F102A" w:rsidRPr="00683A09">
        <w:rPr>
          <w:rFonts w:asciiTheme="majorHAnsi" w:hAnsiTheme="majorHAnsi"/>
        </w:rPr>
        <w:t xml:space="preserve"> However, not all districts </w:t>
      </w:r>
      <w:r w:rsidR="00E6640D" w:rsidRPr="00683A09">
        <w:rPr>
          <w:rFonts w:asciiTheme="majorHAnsi" w:hAnsiTheme="majorHAnsi"/>
        </w:rPr>
        <w:t xml:space="preserve">had </w:t>
      </w:r>
      <w:r w:rsidR="00D67E08">
        <w:rPr>
          <w:rFonts w:asciiTheme="majorHAnsi" w:hAnsiTheme="majorHAnsi"/>
        </w:rPr>
        <w:t>similar experiences</w:t>
      </w:r>
      <w:r w:rsidR="00E6640D" w:rsidRPr="00683A09">
        <w:rPr>
          <w:rFonts w:asciiTheme="majorHAnsi" w:hAnsiTheme="majorHAnsi"/>
        </w:rPr>
        <w:t xml:space="preserve"> in 2017</w:t>
      </w:r>
      <w:r w:rsidR="00D67E08">
        <w:rPr>
          <w:rFonts w:asciiTheme="majorHAnsi" w:hAnsiTheme="majorHAnsi"/>
        </w:rPr>
        <w:t>; burglaries decreased</w:t>
      </w:r>
      <w:r w:rsidR="002F102A" w:rsidRPr="00683A09">
        <w:rPr>
          <w:rFonts w:asciiTheme="majorHAnsi" w:hAnsiTheme="majorHAnsi"/>
        </w:rPr>
        <w:t xml:space="preserve"> in East End</w:t>
      </w:r>
      <w:r w:rsidR="00E6640D" w:rsidRPr="00683A09">
        <w:rPr>
          <w:rFonts w:asciiTheme="majorHAnsi" w:hAnsiTheme="majorHAnsi"/>
        </w:rPr>
        <w:t xml:space="preserve"> and stayed about the same in North Side.</w:t>
      </w:r>
      <w:r w:rsidR="002F102A" w:rsidRPr="00683A09">
        <w:rPr>
          <w:rFonts w:asciiTheme="majorHAnsi" w:hAnsiTheme="majorHAnsi"/>
        </w:rPr>
        <w:t xml:space="preserve"> </w:t>
      </w:r>
    </w:p>
    <w:p w14:paraId="3A981C71" w14:textId="77777777" w:rsidR="00E6640D" w:rsidRPr="00683A09" w:rsidRDefault="00E6640D" w:rsidP="002F728B">
      <w:pPr>
        <w:jc w:val="both"/>
        <w:rPr>
          <w:rFonts w:asciiTheme="majorHAnsi" w:hAnsiTheme="majorHAnsi"/>
        </w:rPr>
      </w:pPr>
    </w:p>
    <w:p w14:paraId="5E210CEB" w14:textId="41C4ED59" w:rsidR="00B7754A" w:rsidRPr="00683A09" w:rsidRDefault="0011726C" w:rsidP="002F728B">
      <w:pPr>
        <w:jc w:val="both"/>
        <w:rPr>
          <w:rFonts w:asciiTheme="majorHAnsi" w:hAnsiTheme="majorHAnsi"/>
        </w:rPr>
      </w:pPr>
      <w:r>
        <w:rPr>
          <w:rFonts w:asciiTheme="majorHAnsi" w:hAnsiTheme="majorHAnsi"/>
          <w:i/>
        </w:rPr>
        <w:t>Figure 2</w:t>
      </w:r>
      <w:r w:rsidR="002F102A" w:rsidRPr="00683A09">
        <w:rPr>
          <w:rFonts w:asciiTheme="majorHAnsi" w:hAnsiTheme="majorHAnsi"/>
        </w:rPr>
        <w:t xml:space="preserve"> describes burglaries</w:t>
      </w:r>
      <w:r w:rsidR="00E6640D" w:rsidRPr="00683A09">
        <w:rPr>
          <w:rFonts w:asciiTheme="majorHAnsi" w:hAnsiTheme="majorHAnsi"/>
        </w:rPr>
        <w:t xml:space="preserve"> </w:t>
      </w:r>
      <w:r w:rsidR="00E6640D" w:rsidRPr="00A925B8">
        <w:rPr>
          <w:rFonts w:asciiTheme="majorHAnsi" w:hAnsiTheme="majorHAnsi"/>
          <w:u w:val="single"/>
        </w:rPr>
        <w:t>and</w:t>
      </w:r>
      <w:r w:rsidR="00E6640D" w:rsidRPr="00683A09">
        <w:rPr>
          <w:rFonts w:asciiTheme="majorHAnsi" w:hAnsiTheme="majorHAnsi"/>
        </w:rPr>
        <w:t xml:space="preserve"> burglary-related offences (burglary, attempted burglary, aggravated burglary and burglary with intent to rape)</w:t>
      </w:r>
      <w:r w:rsidR="002F102A" w:rsidRPr="00683A09">
        <w:rPr>
          <w:rFonts w:asciiTheme="majorHAnsi" w:hAnsiTheme="majorHAnsi"/>
        </w:rPr>
        <w:t xml:space="preserve"> across all districts</w:t>
      </w:r>
      <w:r w:rsidR="00932C82">
        <w:rPr>
          <w:rFonts w:asciiTheme="majorHAnsi" w:hAnsiTheme="majorHAnsi"/>
        </w:rPr>
        <w:t xml:space="preserve">, and also provides a breakdown of cumulative totals of residential and commercial burglaries. Please note that these figures do </w:t>
      </w:r>
      <w:r w:rsidR="00932C82" w:rsidRPr="006D16E4">
        <w:rPr>
          <w:rFonts w:asciiTheme="majorHAnsi" w:hAnsiTheme="majorHAnsi"/>
          <w:u w:val="single"/>
        </w:rPr>
        <w:t>not</w:t>
      </w:r>
      <w:r w:rsidR="00932C82">
        <w:rPr>
          <w:rFonts w:asciiTheme="majorHAnsi" w:hAnsiTheme="majorHAnsi"/>
        </w:rPr>
        <w:t xml:space="preserve"> include Criminal Trespass.</w:t>
      </w:r>
    </w:p>
    <w:p w14:paraId="5B58DB52" w14:textId="77777777" w:rsidR="002F102A" w:rsidRPr="00683A09" w:rsidRDefault="002F102A" w:rsidP="002F728B">
      <w:pPr>
        <w:jc w:val="both"/>
        <w:rPr>
          <w:rFonts w:asciiTheme="majorHAnsi" w:hAnsiTheme="majorHAnsi"/>
          <w:i/>
        </w:rPr>
      </w:pPr>
    </w:p>
    <w:p w14:paraId="339BB714" w14:textId="025E799D" w:rsidR="00BA773A" w:rsidRPr="00683A09" w:rsidRDefault="00BA773A" w:rsidP="002F728B">
      <w:pPr>
        <w:jc w:val="both"/>
        <w:rPr>
          <w:rFonts w:asciiTheme="majorHAnsi" w:hAnsiTheme="majorHAnsi"/>
        </w:rPr>
      </w:pPr>
      <w:r w:rsidRPr="00683A09">
        <w:rPr>
          <w:rFonts w:asciiTheme="majorHAnsi" w:hAnsiTheme="majorHAnsi"/>
        </w:rPr>
        <w:t xml:space="preserve">Typically, residential burglaries </w:t>
      </w:r>
      <w:r w:rsidR="00E6640D" w:rsidRPr="00683A09">
        <w:rPr>
          <w:rFonts w:asciiTheme="majorHAnsi" w:hAnsiTheme="majorHAnsi"/>
        </w:rPr>
        <w:t>outnumber commercial burglaries; however,</w:t>
      </w:r>
      <w:r w:rsidRPr="00683A09">
        <w:rPr>
          <w:rFonts w:asciiTheme="majorHAnsi" w:hAnsiTheme="majorHAnsi"/>
        </w:rPr>
        <w:t xml:space="preserve"> </w:t>
      </w:r>
      <w:r w:rsidR="00E6640D" w:rsidRPr="00683A09">
        <w:rPr>
          <w:rFonts w:asciiTheme="majorHAnsi" w:hAnsiTheme="majorHAnsi"/>
        </w:rPr>
        <w:t>greater losses on average are reported in commercial burglaries.  Both kinds of burglary</w:t>
      </w:r>
      <w:r w:rsidRPr="00683A09">
        <w:rPr>
          <w:rFonts w:asciiTheme="majorHAnsi" w:hAnsiTheme="majorHAnsi"/>
        </w:rPr>
        <w:t xml:space="preserve"> increased overall in 201</w:t>
      </w:r>
      <w:r w:rsidR="00E6640D" w:rsidRPr="00683A09">
        <w:rPr>
          <w:rFonts w:asciiTheme="majorHAnsi" w:hAnsiTheme="majorHAnsi"/>
        </w:rPr>
        <w:t xml:space="preserve">7.  </w:t>
      </w:r>
    </w:p>
    <w:p w14:paraId="32A7E4C3" w14:textId="77777777" w:rsidR="00BA773A" w:rsidRPr="00683A09" w:rsidRDefault="00BA773A" w:rsidP="002F728B">
      <w:pPr>
        <w:jc w:val="both"/>
        <w:rPr>
          <w:rFonts w:asciiTheme="majorHAnsi" w:hAnsiTheme="majorHAnsi"/>
        </w:rPr>
      </w:pPr>
    </w:p>
    <w:p w14:paraId="06D67DB7" w14:textId="32D47651" w:rsidR="00255760" w:rsidRPr="00B55D04" w:rsidRDefault="00BA773A" w:rsidP="002F728B">
      <w:pPr>
        <w:jc w:val="both"/>
        <w:rPr>
          <w:rFonts w:asciiTheme="majorHAnsi" w:hAnsiTheme="majorHAnsi"/>
        </w:rPr>
      </w:pPr>
      <w:r w:rsidRPr="00683A09">
        <w:rPr>
          <w:rFonts w:asciiTheme="majorHAnsi" w:hAnsiTheme="majorHAnsi"/>
        </w:rPr>
        <w:t>While the overall nu</w:t>
      </w:r>
      <w:r w:rsidR="00FD7DE8" w:rsidRPr="00683A09">
        <w:rPr>
          <w:rFonts w:asciiTheme="majorHAnsi" w:hAnsiTheme="majorHAnsi"/>
        </w:rPr>
        <w:t xml:space="preserve">mber of </w:t>
      </w:r>
      <w:r w:rsidR="00054F3D" w:rsidRPr="00683A09">
        <w:rPr>
          <w:rFonts w:asciiTheme="majorHAnsi" w:hAnsiTheme="majorHAnsi"/>
        </w:rPr>
        <w:t>burglaries and attempted burglaries</w:t>
      </w:r>
      <w:r w:rsidR="00FD7DE8" w:rsidRPr="00683A09">
        <w:rPr>
          <w:rFonts w:asciiTheme="majorHAnsi" w:hAnsiTheme="majorHAnsi"/>
        </w:rPr>
        <w:t xml:space="preserve"> offences</w:t>
      </w:r>
      <w:r w:rsidR="00E6640D" w:rsidRPr="00683A09">
        <w:rPr>
          <w:rFonts w:asciiTheme="majorHAnsi" w:hAnsiTheme="majorHAnsi"/>
        </w:rPr>
        <w:t xml:space="preserve"> in 2017 increased by </w:t>
      </w:r>
      <w:r w:rsidR="00054F3D" w:rsidRPr="00683A09">
        <w:rPr>
          <w:rFonts w:asciiTheme="majorHAnsi" w:hAnsiTheme="majorHAnsi"/>
        </w:rPr>
        <w:t>19</w:t>
      </w:r>
      <w:r w:rsidR="00FD7DE8" w:rsidRPr="00683A09">
        <w:rPr>
          <w:rFonts w:asciiTheme="majorHAnsi" w:hAnsiTheme="majorHAnsi"/>
        </w:rPr>
        <w:t>%</w:t>
      </w:r>
      <w:r w:rsidR="00054F3D" w:rsidRPr="00683A09">
        <w:rPr>
          <w:rFonts w:asciiTheme="majorHAnsi" w:hAnsiTheme="majorHAnsi"/>
        </w:rPr>
        <w:t xml:space="preserve"> over 2016 (596 vs. 501)</w:t>
      </w:r>
      <w:r w:rsidR="00FD7DE8" w:rsidRPr="00683A09">
        <w:rPr>
          <w:rFonts w:asciiTheme="majorHAnsi" w:hAnsiTheme="majorHAnsi"/>
        </w:rPr>
        <w:t xml:space="preserve">, </w:t>
      </w:r>
      <w:r w:rsidR="00054F3D" w:rsidRPr="00683A09">
        <w:rPr>
          <w:rFonts w:asciiTheme="majorHAnsi" w:hAnsiTheme="majorHAnsi"/>
        </w:rPr>
        <w:t xml:space="preserve">a review of </w:t>
      </w:r>
      <w:r w:rsidR="006F7FC9" w:rsidRPr="00683A09">
        <w:rPr>
          <w:rFonts w:asciiTheme="majorHAnsi" w:hAnsiTheme="majorHAnsi"/>
        </w:rPr>
        <w:t>the incidence of these</w:t>
      </w:r>
      <w:r w:rsidR="0021054D" w:rsidRPr="00683A09">
        <w:rPr>
          <w:rFonts w:asciiTheme="majorHAnsi" w:hAnsiTheme="majorHAnsi"/>
        </w:rPr>
        <w:t xml:space="preserve"> offences for the past </w:t>
      </w:r>
      <w:r w:rsidR="00A018C0">
        <w:rPr>
          <w:rFonts w:asciiTheme="majorHAnsi" w:hAnsiTheme="majorHAnsi"/>
        </w:rPr>
        <w:t>five years</w:t>
      </w:r>
      <w:r w:rsidR="0021054D" w:rsidRPr="00683A09">
        <w:rPr>
          <w:rFonts w:asciiTheme="majorHAnsi" w:hAnsiTheme="majorHAnsi"/>
        </w:rPr>
        <w:t xml:space="preserve"> shows that these numbers are nonetheless fewer on average.  </w:t>
      </w:r>
      <w:r w:rsidR="0011726C">
        <w:rPr>
          <w:rFonts w:asciiTheme="majorHAnsi" w:hAnsiTheme="majorHAnsi"/>
        </w:rPr>
        <w:t>Graph 2 (below)</w:t>
      </w:r>
      <w:r w:rsidR="0021054D" w:rsidRPr="00683A09">
        <w:rPr>
          <w:rFonts w:asciiTheme="majorHAnsi" w:hAnsiTheme="majorHAnsi"/>
        </w:rPr>
        <w:t xml:space="preserve"> describes the incidence of burglary and attempted burglary since </w:t>
      </w:r>
      <w:r w:rsidR="00A018C0">
        <w:rPr>
          <w:rFonts w:asciiTheme="majorHAnsi" w:hAnsiTheme="majorHAnsi"/>
        </w:rPr>
        <w:t>2013</w:t>
      </w:r>
      <w:r w:rsidR="0021054D" w:rsidRPr="00683A09">
        <w:rPr>
          <w:rFonts w:asciiTheme="majorHAnsi" w:hAnsiTheme="majorHAnsi"/>
        </w:rPr>
        <w:t xml:space="preserve">.  </w:t>
      </w:r>
      <w:r w:rsidR="0021054D" w:rsidRPr="00683A09">
        <w:rPr>
          <w:rFonts w:asciiTheme="majorHAnsi" w:hAnsiTheme="majorHAnsi"/>
        </w:rPr>
        <w:lastRenderedPageBreak/>
        <w:t xml:space="preserve">On average, </w:t>
      </w:r>
      <w:r w:rsidR="004A034A">
        <w:rPr>
          <w:rFonts w:asciiTheme="majorHAnsi" w:hAnsiTheme="majorHAnsi"/>
        </w:rPr>
        <w:t xml:space="preserve">672 </w:t>
      </w:r>
      <w:r w:rsidR="0021054D" w:rsidRPr="00683A09">
        <w:rPr>
          <w:rFonts w:asciiTheme="majorHAnsi" w:hAnsiTheme="majorHAnsi"/>
        </w:rPr>
        <w:t>burglaries and attempted burglaries occur</w:t>
      </w:r>
      <w:r w:rsidR="004A034A">
        <w:rPr>
          <w:rFonts w:asciiTheme="majorHAnsi" w:hAnsiTheme="majorHAnsi"/>
        </w:rPr>
        <w:t xml:space="preserve"> each year (with averages of 598</w:t>
      </w:r>
      <w:r w:rsidR="0021054D" w:rsidRPr="00683A09">
        <w:rPr>
          <w:rFonts w:asciiTheme="majorHAnsi" w:hAnsiTheme="majorHAnsi"/>
        </w:rPr>
        <w:t xml:space="preserve"> and</w:t>
      </w:r>
      <w:r w:rsidR="004A034A">
        <w:rPr>
          <w:rFonts w:asciiTheme="majorHAnsi" w:hAnsiTheme="majorHAnsi"/>
        </w:rPr>
        <w:t xml:space="preserve"> 74</w:t>
      </w:r>
      <w:r w:rsidR="0021054D" w:rsidRPr="00683A09">
        <w:rPr>
          <w:rFonts w:asciiTheme="majorHAnsi" w:hAnsiTheme="majorHAnsi"/>
        </w:rPr>
        <w:t xml:space="preserve">, respectively). </w:t>
      </w:r>
    </w:p>
    <w:p w14:paraId="6DA19145" w14:textId="77777777" w:rsidR="00255760" w:rsidRDefault="00255760" w:rsidP="002F728B">
      <w:pPr>
        <w:jc w:val="both"/>
        <w:rPr>
          <w:rFonts w:asciiTheme="majorHAnsi" w:hAnsiTheme="majorHAnsi"/>
          <w:i/>
          <w:sz w:val="22"/>
          <w:szCs w:val="22"/>
        </w:rPr>
      </w:pPr>
    </w:p>
    <w:p w14:paraId="661F1C50" w14:textId="0A670EDC" w:rsidR="0021054D" w:rsidRPr="00932C82" w:rsidRDefault="00C42FCA" w:rsidP="002F728B">
      <w:pPr>
        <w:jc w:val="both"/>
        <w:rPr>
          <w:rFonts w:asciiTheme="majorHAnsi" w:hAnsiTheme="majorHAnsi"/>
          <w:i/>
          <w:sz w:val="22"/>
          <w:szCs w:val="22"/>
        </w:rPr>
      </w:pPr>
      <w:proofErr w:type="gramStart"/>
      <w:r>
        <w:rPr>
          <w:rFonts w:asciiTheme="majorHAnsi" w:hAnsiTheme="majorHAnsi"/>
          <w:i/>
          <w:sz w:val="22"/>
          <w:szCs w:val="22"/>
        </w:rPr>
        <w:t>Graph 2</w:t>
      </w:r>
      <w:r w:rsidR="0021054D" w:rsidRPr="004A034A">
        <w:rPr>
          <w:rFonts w:asciiTheme="majorHAnsi" w:hAnsiTheme="majorHAnsi"/>
          <w:i/>
          <w:sz w:val="22"/>
          <w:szCs w:val="22"/>
        </w:rPr>
        <w:t>.</w:t>
      </w:r>
      <w:proofErr w:type="gramEnd"/>
      <w:r w:rsidR="0021054D" w:rsidRPr="004A034A">
        <w:rPr>
          <w:rFonts w:asciiTheme="majorHAnsi" w:hAnsiTheme="majorHAnsi"/>
          <w:i/>
          <w:sz w:val="22"/>
          <w:szCs w:val="22"/>
        </w:rPr>
        <w:t xml:space="preserve"> Incidence of Burg</w:t>
      </w:r>
      <w:r w:rsidR="00FB6349" w:rsidRPr="004A034A">
        <w:rPr>
          <w:rFonts w:asciiTheme="majorHAnsi" w:hAnsiTheme="majorHAnsi"/>
          <w:i/>
          <w:sz w:val="22"/>
          <w:szCs w:val="22"/>
        </w:rPr>
        <w:t>laries and Attempted Burglaries, 2013-2017</w:t>
      </w:r>
    </w:p>
    <w:p w14:paraId="51A55DA0" w14:textId="742D474D" w:rsidR="004D35C4" w:rsidRPr="00683A09" w:rsidRDefault="00A41B5F" w:rsidP="002F728B">
      <w:pPr>
        <w:jc w:val="both"/>
        <w:rPr>
          <w:rFonts w:asciiTheme="majorHAnsi" w:hAnsiTheme="majorHAnsi"/>
        </w:rPr>
      </w:pPr>
      <w:r>
        <w:rPr>
          <w:noProof/>
          <w:lang w:val="en-GB" w:eastAsia="en-GB"/>
        </w:rPr>
        <w:drawing>
          <wp:inline distT="0" distB="0" distL="0" distR="0" wp14:anchorId="081541EC" wp14:editId="666826D9">
            <wp:extent cx="5379720" cy="3695700"/>
            <wp:effectExtent l="0" t="0" r="11430" b="19050"/>
            <wp:docPr id="1" name="Chart 1" title="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DB53E8" w14:textId="77777777" w:rsidR="00A41B5F" w:rsidRDefault="00A41B5F" w:rsidP="002F728B">
      <w:pPr>
        <w:jc w:val="both"/>
        <w:rPr>
          <w:rFonts w:asciiTheme="majorHAnsi" w:hAnsiTheme="majorHAnsi"/>
        </w:rPr>
      </w:pPr>
    </w:p>
    <w:p w14:paraId="73B4F726" w14:textId="4CE66B05" w:rsidR="00863053" w:rsidRPr="00683A09" w:rsidRDefault="00E7207E" w:rsidP="002F728B">
      <w:pPr>
        <w:jc w:val="both"/>
        <w:rPr>
          <w:rFonts w:asciiTheme="majorHAnsi" w:hAnsiTheme="majorHAnsi"/>
        </w:rPr>
      </w:pPr>
      <w:r w:rsidRPr="00683A09">
        <w:rPr>
          <w:rFonts w:asciiTheme="majorHAnsi" w:hAnsiTheme="majorHAnsi"/>
        </w:rPr>
        <w:t xml:space="preserve">It is the position of the RCIPS that even the lowest burglary figure in this table (439 burglaries in 2016) is still too high an </w:t>
      </w:r>
      <w:r w:rsidR="00863053" w:rsidRPr="00683A09">
        <w:rPr>
          <w:rFonts w:asciiTheme="majorHAnsi" w:hAnsiTheme="majorHAnsi"/>
        </w:rPr>
        <w:t xml:space="preserve">annual </w:t>
      </w:r>
      <w:r w:rsidRPr="00683A09">
        <w:rPr>
          <w:rFonts w:asciiTheme="majorHAnsi" w:hAnsiTheme="majorHAnsi"/>
        </w:rPr>
        <w:t xml:space="preserve">incidence of burglary </w:t>
      </w:r>
      <w:r w:rsidR="005B0921" w:rsidRPr="00683A09">
        <w:rPr>
          <w:rFonts w:asciiTheme="majorHAnsi" w:hAnsiTheme="majorHAnsi"/>
        </w:rPr>
        <w:t xml:space="preserve">for a population of 60,000.  The </w:t>
      </w:r>
      <w:r w:rsidRPr="00683A09">
        <w:rPr>
          <w:rFonts w:asciiTheme="majorHAnsi" w:hAnsiTheme="majorHAnsi"/>
        </w:rPr>
        <w:t xml:space="preserve">persistence of </w:t>
      </w:r>
      <w:r w:rsidR="00863053" w:rsidRPr="00683A09">
        <w:rPr>
          <w:rFonts w:asciiTheme="majorHAnsi" w:hAnsiTheme="majorHAnsi"/>
        </w:rPr>
        <w:t>the burglary</w:t>
      </w:r>
      <w:r w:rsidRPr="00683A09">
        <w:rPr>
          <w:rFonts w:asciiTheme="majorHAnsi" w:hAnsiTheme="majorHAnsi"/>
        </w:rPr>
        <w:t xml:space="preserve"> problem </w:t>
      </w:r>
      <w:r w:rsidR="005B0921" w:rsidRPr="00683A09">
        <w:rPr>
          <w:rFonts w:asciiTheme="majorHAnsi" w:hAnsiTheme="majorHAnsi"/>
        </w:rPr>
        <w:t xml:space="preserve">in the Cayman Islands, as shown in </w:t>
      </w:r>
      <w:r w:rsidR="0011726C">
        <w:rPr>
          <w:rFonts w:asciiTheme="majorHAnsi" w:hAnsiTheme="majorHAnsi"/>
        </w:rPr>
        <w:t>Graph 2</w:t>
      </w:r>
      <w:r w:rsidR="005B0921" w:rsidRPr="00683A09">
        <w:rPr>
          <w:rFonts w:asciiTheme="majorHAnsi" w:hAnsiTheme="majorHAnsi"/>
        </w:rPr>
        <w:t xml:space="preserve">, </w:t>
      </w:r>
      <w:r w:rsidRPr="00683A09">
        <w:rPr>
          <w:rFonts w:asciiTheme="majorHAnsi" w:hAnsiTheme="majorHAnsi"/>
        </w:rPr>
        <w:t xml:space="preserve">indicates the complexity of it. </w:t>
      </w:r>
    </w:p>
    <w:p w14:paraId="6FC0E4FE" w14:textId="77777777" w:rsidR="00863053" w:rsidRPr="00683A09" w:rsidRDefault="00863053" w:rsidP="002F728B">
      <w:pPr>
        <w:jc w:val="both"/>
        <w:rPr>
          <w:rFonts w:asciiTheme="majorHAnsi" w:hAnsiTheme="majorHAnsi"/>
        </w:rPr>
      </w:pPr>
    </w:p>
    <w:p w14:paraId="40A7D93E" w14:textId="7EAEE04C" w:rsidR="007B5628" w:rsidRDefault="00E7207E" w:rsidP="002F728B">
      <w:pPr>
        <w:jc w:val="both"/>
        <w:rPr>
          <w:rFonts w:asciiTheme="majorHAnsi" w:hAnsiTheme="majorHAnsi"/>
        </w:rPr>
      </w:pPr>
      <w:r w:rsidRPr="00683A09">
        <w:rPr>
          <w:rFonts w:asciiTheme="majorHAnsi" w:hAnsiTheme="majorHAnsi"/>
        </w:rPr>
        <w:t xml:space="preserve">Burglary prevention is a central objective of </w:t>
      </w:r>
      <w:r w:rsidR="00863053" w:rsidRPr="00683A09">
        <w:rPr>
          <w:rFonts w:asciiTheme="majorHAnsi" w:hAnsiTheme="majorHAnsi"/>
        </w:rPr>
        <w:t>the RCIPS’</w:t>
      </w:r>
      <w:r w:rsidRPr="00683A09">
        <w:rPr>
          <w:rFonts w:asciiTheme="majorHAnsi" w:hAnsiTheme="majorHAnsi"/>
        </w:rPr>
        <w:t xml:space="preserve"> new community policing program </w:t>
      </w:r>
      <w:r w:rsidR="00863053" w:rsidRPr="00683A09">
        <w:rPr>
          <w:rFonts w:asciiTheme="majorHAnsi" w:hAnsiTheme="majorHAnsi"/>
        </w:rPr>
        <w:t xml:space="preserve">and public education efforts.  Burglary detection also forms a major objective within the detective portfolio, with detectives re-deployed to the districts at several junctures in 2017 to investigate crimes and arrest offenders. </w:t>
      </w:r>
      <w:r w:rsidR="007B5628">
        <w:rPr>
          <w:rFonts w:asciiTheme="majorHAnsi" w:hAnsiTheme="majorHAnsi"/>
        </w:rPr>
        <w:t xml:space="preserve">As a result of these efforts, </w:t>
      </w:r>
      <w:r w:rsidR="006D16E4">
        <w:rPr>
          <w:rFonts w:asciiTheme="majorHAnsi" w:hAnsiTheme="majorHAnsi"/>
        </w:rPr>
        <w:t xml:space="preserve">sixty-three </w:t>
      </w:r>
      <w:r w:rsidR="007B5628">
        <w:rPr>
          <w:rFonts w:asciiTheme="majorHAnsi" w:hAnsiTheme="majorHAnsi"/>
        </w:rPr>
        <w:t xml:space="preserve">burglary charges were laid in 2017.  Currently, fifteen people are serving prison sentences for burglary while another six are on remand.  </w:t>
      </w:r>
      <w:r w:rsidR="00863053" w:rsidRPr="00683A09">
        <w:rPr>
          <w:rFonts w:asciiTheme="majorHAnsi" w:hAnsiTheme="majorHAnsi"/>
        </w:rPr>
        <w:t xml:space="preserve"> </w:t>
      </w:r>
    </w:p>
    <w:p w14:paraId="125C31B9" w14:textId="77777777" w:rsidR="00627C88" w:rsidRPr="00683A09" w:rsidRDefault="00627C88" w:rsidP="002F728B">
      <w:pPr>
        <w:jc w:val="both"/>
        <w:rPr>
          <w:rFonts w:asciiTheme="majorHAnsi" w:hAnsiTheme="majorHAnsi"/>
        </w:rPr>
      </w:pPr>
    </w:p>
    <w:p w14:paraId="2A7C82EB" w14:textId="35DB6400" w:rsidR="002E7DC1" w:rsidRDefault="005B0921" w:rsidP="002F728B">
      <w:pPr>
        <w:jc w:val="both"/>
        <w:rPr>
          <w:rFonts w:asciiTheme="majorHAnsi" w:hAnsiTheme="majorHAnsi"/>
        </w:rPr>
      </w:pPr>
      <w:r w:rsidRPr="00683A09">
        <w:rPr>
          <w:rFonts w:asciiTheme="majorHAnsi" w:hAnsiTheme="majorHAnsi"/>
        </w:rPr>
        <w:t xml:space="preserve">The RCIPS is </w:t>
      </w:r>
      <w:r w:rsidR="002E7DC1">
        <w:rPr>
          <w:rFonts w:asciiTheme="majorHAnsi" w:hAnsiTheme="majorHAnsi"/>
        </w:rPr>
        <w:t xml:space="preserve">currently in the process of establishing a </w:t>
      </w:r>
      <w:r w:rsidR="00B55D04">
        <w:rPr>
          <w:rFonts w:asciiTheme="majorHAnsi" w:hAnsiTheme="majorHAnsi"/>
        </w:rPr>
        <w:t xml:space="preserve">dedicated Joint </w:t>
      </w:r>
      <w:r w:rsidR="002E7DC1">
        <w:rPr>
          <w:rFonts w:asciiTheme="majorHAnsi" w:hAnsiTheme="majorHAnsi"/>
        </w:rPr>
        <w:t>Crime Task Force</w:t>
      </w:r>
      <w:r w:rsidR="00B55D04">
        <w:rPr>
          <w:rFonts w:asciiTheme="majorHAnsi" w:hAnsiTheme="majorHAnsi"/>
        </w:rPr>
        <w:t xml:space="preserve"> (police and immigration)</w:t>
      </w:r>
      <w:r w:rsidR="002E7DC1">
        <w:rPr>
          <w:rFonts w:asciiTheme="majorHAnsi" w:hAnsiTheme="majorHAnsi"/>
        </w:rPr>
        <w:t>, headed by a Chief Inspector, which will be responsible for serious crime investigations, specifically into burglary, robbery, firearms, drugs and gambling offences.</w:t>
      </w:r>
      <w:r w:rsidRPr="00683A09">
        <w:rPr>
          <w:rFonts w:asciiTheme="majorHAnsi" w:hAnsiTheme="majorHAnsi"/>
        </w:rPr>
        <w:t xml:space="preserve"> </w:t>
      </w:r>
      <w:r w:rsidR="002E7DC1">
        <w:rPr>
          <w:rFonts w:asciiTheme="majorHAnsi" w:hAnsiTheme="majorHAnsi"/>
        </w:rPr>
        <w:t>This is a strategic priority of the National Security Council</w:t>
      </w:r>
      <w:r w:rsidR="0011726C">
        <w:rPr>
          <w:rFonts w:asciiTheme="majorHAnsi" w:hAnsiTheme="majorHAnsi"/>
        </w:rPr>
        <w:t>,</w:t>
      </w:r>
      <w:r w:rsidR="002E7DC1">
        <w:rPr>
          <w:rFonts w:asciiTheme="majorHAnsi" w:hAnsiTheme="majorHAnsi"/>
        </w:rPr>
        <w:t xml:space="preserve"> and we believe that a properly staffed and resourced task force </w:t>
      </w:r>
      <w:r w:rsidR="0011726C">
        <w:rPr>
          <w:rFonts w:asciiTheme="majorHAnsi" w:hAnsiTheme="majorHAnsi"/>
        </w:rPr>
        <w:t xml:space="preserve">of this kind </w:t>
      </w:r>
      <w:r w:rsidR="002E7DC1">
        <w:rPr>
          <w:rFonts w:asciiTheme="majorHAnsi" w:hAnsiTheme="majorHAnsi"/>
        </w:rPr>
        <w:t xml:space="preserve">can maximize </w:t>
      </w:r>
      <w:r w:rsidR="00627C88" w:rsidRPr="00683A09">
        <w:rPr>
          <w:rFonts w:asciiTheme="majorHAnsi" w:hAnsiTheme="majorHAnsi"/>
        </w:rPr>
        <w:t>the</w:t>
      </w:r>
      <w:r w:rsidRPr="00683A09">
        <w:rPr>
          <w:rFonts w:asciiTheme="majorHAnsi" w:hAnsiTheme="majorHAnsi"/>
        </w:rPr>
        <w:t xml:space="preserve"> impact that enforcement</w:t>
      </w:r>
      <w:r w:rsidR="002E7DC1">
        <w:rPr>
          <w:rFonts w:asciiTheme="majorHAnsi" w:hAnsiTheme="majorHAnsi"/>
        </w:rPr>
        <w:t xml:space="preserve"> can have on </w:t>
      </w:r>
      <w:r w:rsidR="00B55D04">
        <w:rPr>
          <w:rFonts w:asciiTheme="majorHAnsi" w:hAnsiTheme="majorHAnsi"/>
        </w:rPr>
        <w:t>crime and related offences</w:t>
      </w:r>
      <w:r w:rsidRPr="00683A09">
        <w:rPr>
          <w:rFonts w:asciiTheme="majorHAnsi" w:hAnsiTheme="majorHAnsi"/>
        </w:rPr>
        <w:t>.</w:t>
      </w:r>
      <w:r w:rsidR="00E12FA1" w:rsidRPr="00683A09">
        <w:rPr>
          <w:rFonts w:asciiTheme="majorHAnsi" w:hAnsiTheme="majorHAnsi"/>
        </w:rPr>
        <w:t xml:space="preserve">  </w:t>
      </w:r>
    </w:p>
    <w:p w14:paraId="6237DA86" w14:textId="77777777" w:rsidR="002E7DC1" w:rsidRDefault="002E7DC1" w:rsidP="002F728B">
      <w:pPr>
        <w:jc w:val="both"/>
        <w:rPr>
          <w:rFonts w:asciiTheme="majorHAnsi" w:hAnsiTheme="majorHAnsi"/>
        </w:rPr>
      </w:pPr>
    </w:p>
    <w:p w14:paraId="3C982453" w14:textId="74A2BD91" w:rsidR="00B55D04" w:rsidRDefault="002E7DC1" w:rsidP="00B55D04">
      <w:pPr>
        <w:jc w:val="both"/>
        <w:rPr>
          <w:rFonts w:asciiTheme="majorHAnsi" w:hAnsiTheme="majorHAnsi"/>
        </w:rPr>
      </w:pPr>
      <w:r>
        <w:rPr>
          <w:rFonts w:asciiTheme="majorHAnsi" w:hAnsiTheme="majorHAnsi"/>
        </w:rPr>
        <w:t xml:space="preserve">From the perspective of crime prevention, </w:t>
      </w:r>
      <w:r w:rsidR="00E12FA1" w:rsidRPr="00683A09">
        <w:rPr>
          <w:rFonts w:asciiTheme="majorHAnsi" w:hAnsiTheme="majorHAnsi"/>
        </w:rPr>
        <w:t xml:space="preserve">2017 </w:t>
      </w:r>
      <w:r>
        <w:rPr>
          <w:rFonts w:asciiTheme="majorHAnsi" w:hAnsiTheme="majorHAnsi"/>
        </w:rPr>
        <w:t xml:space="preserve">and 2018 has seen </w:t>
      </w:r>
      <w:r w:rsidR="00E12FA1" w:rsidRPr="00683A09">
        <w:rPr>
          <w:rFonts w:asciiTheme="majorHAnsi" w:hAnsiTheme="majorHAnsi"/>
        </w:rPr>
        <w:t>renewed interest in neighbourhood watc</w:t>
      </w:r>
      <w:r>
        <w:rPr>
          <w:rFonts w:asciiTheme="majorHAnsi" w:hAnsiTheme="majorHAnsi"/>
        </w:rPr>
        <w:t xml:space="preserve">h programs across the islands, facilitated by </w:t>
      </w:r>
      <w:r w:rsidR="00E12FA1" w:rsidRPr="00683A09">
        <w:rPr>
          <w:rFonts w:asciiTheme="majorHAnsi" w:hAnsiTheme="majorHAnsi"/>
        </w:rPr>
        <w:t xml:space="preserve">new beat officers </w:t>
      </w:r>
      <w:r>
        <w:rPr>
          <w:rFonts w:asciiTheme="majorHAnsi" w:hAnsiTheme="majorHAnsi"/>
        </w:rPr>
        <w:t xml:space="preserve">who </w:t>
      </w:r>
      <w:r w:rsidR="0011726C">
        <w:rPr>
          <w:rFonts w:asciiTheme="majorHAnsi" w:hAnsiTheme="majorHAnsi"/>
        </w:rPr>
        <w:lastRenderedPageBreak/>
        <w:t>are developing relationships with</w:t>
      </w:r>
      <w:r>
        <w:rPr>
          <w:rFonts w:asciiTheme="majorHAnsi" w:hAnsiTheme="majorHAnsi"/>
        </w:rPr>
        <w:t xml:space="preserve"> residents in their </w:t>
      </w:r>
      <w:r w:rsidR="0011726C">
        <w:rPr>
          <w:rFonts w:asciiTheme="majorHAnsi" w:hAnsiTheme="majorHAnsi"/>
        </w:rPr>
        <w:t xml:space="preserve">new </w:t>
      </w:r>
      <w:r>
        <w:rPr>
          <w:rFonts w:asciiTheme="majorHAnsi" w:hAnsiTheme="majorHAnsi"/>
        </w:rPr>
        <w:t>area</w:t>
      </w:r>
      <w:r w:rsidR="0011726C">
        <w:rPr>
          <w:rFonts w:asciiTheme="majorHAnsi" w:hAnsiTheme="majorHAnsi"/>
        </w:rPr>
        <w:t>s</w:t>
      </w:r>
      <w:r>
        <w:rPr>
          <w:rFonts w:asciiTheme="majorHAnsi" w:hAnsiTheme="majorHAnsi"/>
        </w:rPr>
        <w:t xml:space="preserve">.  It is also </w:t>
      </w:r>
      <w:r w:rsidR="00B55D04">
        <w:rPr>
          <w:rFonts w:asciiTheme="majorHAnsi" w:hAnsiTheme="majorHAnsi"/>
        </w:rPr>
        <w:t xml:space="preserve">a </w:t>
      </w:r>
      <w:r>
        <w:rPr>
          <w:rFonts w:asciiTheme="majorHAnsi" w:hAnsiTheme="majorHAnsi"/>
        </w:rPr>
        <w:t xml:space="preserve">priority of </w:t>
      </w:r>
      <w:r w:rsidR="00E12FA1" w:rsidRPr="00683A09">
        <w:rPr>
          <w:rFonts w:asciiTheme="majorHAnsi" w:hAnsiTheme="majorHAnsi"/>
        </w:rPr>
        <w:t xml:space="preserve">the Community Policing Department in 2018 </w:t>
      </w:r>
      <w:r>
        <w:rPr>
          <w:rFonts w:asciiTheme="majorHAnsi" w:hAnsiTheme="majorHAnsi"/>
        </w:rPr>
        <w:t xml:space="preserve">to establish new watches in all districts, while </w:t>
      </w:r>
    </w:p>
    <w:p w14:paraId="3B2E8255" w14:textId="33B65334" w:rsidR="00E7207E" w:rsidRPr="00683A09" w:rsidRDefault="002E7DC1" w:rsidP="002F728B">
      <w:pPr>
        <w:jc w:val="both"/>
        <w:rPr>
          <w:rFonts w:asciiTheme="majorHAnsi" w:hAnsiTheme="majorHAnsi"/>
        </w:rPr>
      </w:pPr>
      <w:proofErr w:type="gramStart"/>
      <w:r>
        <w:rPr>
          <w:rFonts w:asciiTheme="majorHAnsi" w:hAnsiTheme="majorHAnsi"/>
        </w:rPr>
        <w:t>the</w:t>
      </w:r>
      <w:proofErr w:type="gramEnd"/>
      <w:r>
        <w:rPr>
          <w:rFonts w:asciiTheme="majorHAnsi" w:hAnsiTheme="majorHAnsi"/>
        </w:rPr>
        <w:t xml:space="preserve"> Media and Communications Unit will be working with partners and the media to promulgate crime prevention tips and messages in a sustained campaign.</w:t>
      </w:r>
    </w:p>
    <w:p w14:paraId="48FD0A47" w14:textId="77777777" w:rsidR="005B0921" w:rsidRDefault="005B0921" w:rsidP="002F728B">
      <w:pPr>
        <w:jc w:val="both"/>
        <w:rPr>
          <w:rFonts w:asciiTheme="majorHAnsi" w:hAnsiTheme="majorHAnsi"/>
        </w:rPr>
      </w:pPr>
    </w:p>
    <w:p w14:paraId="2EED49C8" w14:textId="77777777" w:rsidR="007B5628" w:rsidRPr="00683A09" w:rsidRDefault="007B5628" w:rsidP="007B5628">
      <w:pPr>
        <w:jc w:val="both"/>
        <w:rPr>
          <w:rFonts w:asciiTheme="majorHAnsi" w:hAnsiTheme="majorHAnsi"/>
        </w:rPr>
      </w:pPr>
      <w:r w:rsidRPr="00683A09">
        <w:rPr>
          <w:rFonts w:asciiTheme="majorHAnsi" w:hAnsiTheme="majorHAnsi"/>
        </w:rPr>
        <w:t xml:space="preserve">These efforts can only form part of the answer, however, to a problem rooted in drug abuse, recidivism and social issues that are outside the scope of policing alone, and require a multi-pronged and multi-agency approach to address meaningfully. </w:t>
      </w:r>
    </w:p>
    <w:p w14:paraId="27E8F434" w14:textId="77777777" w:rsidR="007B5628" w:rsidRDefault="007B5628" w:rsidP="002F728B">
      <w:pPr>
        <w:jc w:val="both"/>
        <w:rPr>
          <w:rFonts w:asciiTheme="majorHAnsi" w:hAnsiTheme="majorHAnsi"/>
        </w:rPr>
      </w:pPr>
    </w:p>
    <w:p w14:paraId="290C1B15" w14:textId="77777777" w:rsidR="005F7635" w:rsidRPr="00683A09" w:rsidRDefault="005F7635" w:rsidP="002F728B">
      <w:pPr>
        <w:jc w:val="both"/>
        <w:rPr>
          <w:rFonts w:asciiTheme="majorHAnsi" w:hAnsiTheme="majorHAnsi"/>
        </w:rPr>
      </w:pPr>
    </w:p>
    <w:p w14:paraId="05DFA94B" w14:textId="374BE677" w:rsidR="005B0921" w:rsidRPr="00683A09" w:rsidRDefault="00F3608B" w:rsidP="002F728B">
      <w:pPr>
        <w:jc w:val="both"/>
        <w:rPr>
          <w:rFonts w:asciiTheme="majorHAnsi" w:hAnsiTheme="majorHAnsi"/>
          <w:b/>
        </w:rPr>
      </w:pPr>
      <w:r w:rsidRPr="00683A09">
        <w:rPr>
          <w:rFonts w:asciiTheme="majorHAnsi" w:hAnsiTheme="majorHAnsi"/>
          <w:b/>
        </w:rPr>
        <w:t>7</w:t>
      </w:r>
      <w:r w:rsidR="009A776D" w:rsidRPr="00683A09">
        <w:rPr>
          <w:rFonts w:asciiTheme="majorHAnsi" w:hAnsiTheme="majorHAnsi"/>
          <w:b/>
        </w:rPr>
        <w:t xml:space="preserve">. </w:t>
      </w:r>
      <w:r w:rsidR="006859FD" w:rsidRPr="00683A09">
        <w:rPr>
          <w:rFonts w:asciiTheme="majorHAnsi" w:hAnsiTheme="majorHAnsi"/>
          <w:b/>
        </w:rPr>
        <w:t>Firearms Crime</w:t>
      </w:r>
      <w:r w:rsidR="00381CD0" w:rsidRPr="00683A09">
        <w:rPr>
          <w:rFonts w:asciiTheme="majorHAnsi" w:hAnsiTheme="majorHAnsi"/>
          <w:b/>
        </w:rPr>
        <w:t>s</w:t>
      </w:r>
      <w:r w:rsidR="001176F4" w:rsidRPr="00683A09">
        <w:rPr>
          <w:rFonts w:asciiTheme="majorHAnsi" w:hAnsiTheme="majorHAnsi"/>
          <w:b/>
        </w:rPr>
        <w:t xml:space="preserve"> and Firearm Recoveries</w:t>
      </w:r>
    </w:p>
    <w:p w14:paraId="20BF9634" w14:textId="77777777" w:rsidR="00381CD0" w:rsidRPr="00683A09" w:rsidRDefault="00381CD0" w:rsidP="002F728B">
      <w:pPr>
        <w:jc w:val="both"/>
        <w:rPr>
          <w:rFonts w:asciiTheme="majorHAnsi" w:hAnsiTheme="majorHAnsi"/>
        </w:rPr>
      </w:pPr>
    </w:p>
    <w:p w14:paraId="399166BF" w14:textId="151AEDB5" w:rsidR="00381CD0" w:rsidRPr="00683A09" w:rsidRDefault="006859FD" w:rsidP="00E834DF">
      <w:pPr>
        <w:pStyle w:val="ListParagraph"/>
        <w:ind w:left="0"/>
        <w:jc w:val="both"/>
        <w:rPr>
          <w:rFonts w:asciiTheme="majorHAnsi" w:hAnsiTheme="majorHAnsi"/>
        </w:rPr>
      </w:pPr>
      <w:r w:rsidRPr="00683A09">
        <w:rPr>
          <w:rFonts w:asciiTheme="majorHAnsi" w:hAnsiTheme="majorHAnsi"/>
        </w:rPr>
        <w:t>The figure f</w:t>
      </w:r>
      <w:r w:rsidR="0011726C">
        <w:rPr>
          <w:rFonts w:asciiTheme="majorHAnsi" w:hAnsiTheme="majorHAnsi"/>
        </w:rPr>
        <w:t>or Firearms Crimes from Figure 1</w:t>
      </w:r>
      <w:r w:rsidRPr="00683A09">
        <w:rPr>
          <w:rFonts w:asciiTheme="majorHAnsi" w:hAnsiTheme="majorHAnsi"/>
        </w:rPr>
        <w:t xml:space="preserve"> is</w:t>
      </w:r>
      <w:r w:rsidR="00381CD0" w:rsidRPr="00683A09">
        <w:rPr>
          <w:rFonts w:asciiTheme="majorHAnsi" w:hAnsiTheme="majorHAnsi"/>
        </w:rPr>
        <w:t xml:space="preserve"> broken down </w:t>
      </w:r>
      <w:r w:rsidRPr="00683A09">
        <w:rPr>
          <w:rFonts w:asciiTheme="majorHAnsi" w:hAnsiTheme="majorHAnsi"/>
        </w:rPr>
        <w:t xml:space="preserve">in Figure </w:t>
      </w:r>
      <w:r w:rsidR="0011726C">
        <w:rPr>
          <w:rFonts w:asciiTheme="majorHAnsi" w:hAnsiTheme="majorHAnsi"/>
        </w:rPr>
        <w:t>3 into</w:t>
      </w:r>
      <w:r w:rsidR="00381CD0" w:rsidRPr="00683A09">
        <w:rPr>
          <w:rFonts w:asciiTheme="majorHAnsi" w:hAnsiTheme="majorHAnsi"/>
        </w:rPr>
        <w:t xml:space="preserve"> six different categories</w:t>
      </w:r>
      <w:r w:rsidRPr="00683A09">
        <w:rPr>
          <w:rFonts w:asciiTheme="majorHAnsi" w:hAnsiTheme="majorHAnsi"/>
        </w:rPr>
        <w:t>.</w:t>
      </w:r>
      <w:r w:rsidRPr="00683A09">
        <w:rPr>
          <w:rStyle w:val="FootnoteReference"/>
          <w:rFonts w:asciiTheme="majorHAnsi" w:hAnsiTheme="majorHAnsi"/>
        </w:rPr>
        <w:footnoteReference w:id="6"/>
      </w:r>
      <w:r w:rsidRPr="00683A09">
        <w:rPr>
          <w:rFonts w:asciiTheme="majorHAnsi" w:hAnsiTheme="majorHAnsi"/>
        </w:rPr>
        <w:t xml:space="preserve"> </w:t>
      </w:r>
    </w:p>
    <w:p w14:paraId="49A4FA3D" w14:textId="77777777" w:rsidR="00627C88" w:rsidRPr="00683A09" w:rsidRDefault="00627C88" w:rsidP="00E834DF">
      <w:pPr>
        <w:pStyle w:val="ListParagraph"/>
        <w:ind w:left="0"/>
        <w:jc w:val="both"/>
        <w:rPr>
          <w:rFonts w:asciiTheme="majorHAnsi" w:hAnsiTheme="majorHAnsi"/>
        </w:rPr>
      </w:pPr>
    </w:p>
    <w:p w14:paraId="7682C8BD" w14:textId="23033951" w:rsidR="00DE0FB4" w:rsidRDefault="00381CD0" w:rsidP="00DE36AC">
      <w:pPr>
        <w:pStyle w:val="ListParagraph"/>
        <w:ind w:left="0"/>
        <w:jc w:val="both"/>
        <w:rPr>
          <w:rFonts w:asciiTheme="majorHAnsi" w:hAnsiTheme="majorHAnsi"/>
        </w:rPr>
      </w:pPr>
      <w:r w:rsidRPr="00683A09">
        <w:rPr>
          <w:rFonts w:asciiTheme="majorHAnsi" w:hAnsiTheme="majorHAnsi"/>
        </w:rPr>
        <w:t>In 2017, there were 25 confirmed firearm crimes, which was a decrease of 31% (11) compared t</w:t>
      </w:r>
      <w:r w:rsidR="00DE0FB4" w:rsidRPr="00683A09">
        <w:rPr>
          <w:rFonts w:asciiTheme="majorHAnsi" w:hAnsiTheme="majorHAnsi"/>
        </w:rPr>
        <w:t xml:space="preserve">o 2016. Firearm crimes in 2017 </w:t>
      </w:r>
      <w:r w:rsidRPr="00683A09">
        <w:rPr>
          <w:rFonts w:asciiTheme="majorHAnsi" w:hAnsiTheme="majorHAnsi"/>
        </w:rPr>
        <w:t>accounted for only</w:t>
      </w:r>
      <w:r w:rsidR="00DE36AC">
        <w:rPr>
          <w:rFonts w:asciiTheme="majorHAnsi" w:hAnsiTheme="majorHAnsi"/>
        </w:rPr>
        <w:t xml:space="preserve"> 0.6% of all crimes recorded.  </w:t>
      </w:r>
    </w:p>
    <w:p w14:paraId="4DBA9ABD" w14:textId="77777777" w:rsidR="00DE36AC" w:rsidRPr="00683A09" w:rsidRDefault="00DE36AC" w:rsidP="00DE36AC">
      <w:pPr>
        <w:pStyle w:val="ListParagraph"/>
        <w:ind w:left="0"/>
        <w:jc w:val="both"/>
        <w:rPr>
          <w:rFonts w:asciiTheme="majorHAnsi" w:hAnsiTheme="majorHAnsi"/>
        </w:rPr>
      </w:pPr>
    </w:p>
    <w:p w14:paraId="1348AFB0" w14:textId="0ACF14FD" w:rsidR="00632B01" w:rsidRPr="00DE36AC" w:rsidRDefault="00DE0FB4" w:rsidP="00DE36AC">
      <w:pPr>
        <w:tabs>
          <w:tab w:val="left" w:pos="360"/>
        </w:tabs>
        <w:spacing w:after="200" w:line="276" w:lineRule="auto"/>
        <w:jc w:val="both"/>
        <w:rPr>
          <w:rFonts w:asciiTheme="majorHAnsi" w:hAnsiTheme="majorHAnsi"/>
        </w:rPr>
      </w:pPr>
      <w:r w:rsidRPr="00683A09">
        <w:rPr>
          <w:rFonts w:asciiTheme="majorHAnsi" w:hAnsiTheme="majorHAnsi"/>
        </w:rPr>
        <w:t xml:space="preserve">Injuries from firearms also fell, though slightly, over the reporting period. </w:t>
      </w:r>
      <w:r w:rsidR="00381CD0" w:rsidRPr="00683A09">
        <w:rPr>
          <w:rFonts w:asciiTheme="majorHAnsi" w:hAnsiTheme="majorHAnsi"/>
        </w:rPr>
        <w:t>There was 1 murder in 2017 with the use of a fire</w:t>
      </w:r>
      <w:r w:rsidRPr="00683A09">
        <w:rPr>
          <w:rFonts w:asciiTheme="majorHAnsi" w:hAnsiTheme="majorHAnsi"/>
        </w:rPr>
        <w:t>arm</w:t>
      </w:r>
      <w:r w:rsidR="006572D4" w:rsidRPr="00683A09">
        <w:rPr>
          <w:rFonts w:asciiTheme="majorHAnsi" w:hAnsiTheme="majorHAnsi"/>
        </w:rPr>
        <w:t>,</w:t>
      </w:r>
      <w:r w:rsidRPr="00683A09">
        <w:rPr>
          <w:rFonts w:asciiTheme="majorHAnsi" w:hAnsiTheme="majorHAnsi"/>
        </w:rPr>
        <w:t xml:space="preserve"> in comparison to 2016 when </w:t>
      </w:r>
      <w:r w:rsidR="00381CD0" w:rsidRPr="00683A09">
        <w:rPr>
          <w:rFonts w:asciiTheme="majorHAnsi" w:hAnsiTheme="majorHAnsi"/>
        </w:rPr>
        <w:t xml:space="preserve">2 murders </w:t>
      </w:r>
      <w:r w:rsidRPr="00683A09">
        <w:rPr>
          <w:rFonts w:asciiTheme="majorHAnsi" w:hAnsiTheme="majorHAnsi"/>
        </w:rPr>
        <w:t>occurred</w:t>
      </w:r>
      <w:r w:rsidR="00381CD0" w:rsidRPr="00683A09">
        <w:rPr>
          <w:rFonts w:asciiTheme="majorHAnsi" w:hAnsiTheme="majorHAnsi"/>
        </w:rPr>
        <w:t xml:space="preserve"> with the use of a firearm. In 2017, </w:t>
      </w:r>
      <w:r w:rsidR="007150F6" w:rsidRPr="00683A09">
        <w:rPr>
          <w:rFonts w:asciiTheme="majorHAnsi" w:hAnsiTheme="majorHAnsi"/>
        </w:rPr>
        <w:t>five people were</w:t>
      </w:r>
      <w:r w:rsidR="00381CD0" w:rsidRPr="00683A09">
        <w:rPr>
          <w:rFonts w:asciiTheme="majorHAnsi" w:hAnsiTheme="majorHAnsi"/>
        </w:rPr>
        <w:t xml:space="preserve"> shot and</w:t>
      </w:r>
      <w:r w:rsidR="007150F6" w:rsidRPr="00683A09">
        <w:rPr>
          <w:rFonts w:asciiTheme="majorHAnsi" w:hAnsiTheme="majorHAnsi"/>
        </w:rPr>
        <w:t xml:space="preserve"> injured compared to 2016, when</w:t>
      </w:r>
      <w:r w:rsidR="00381CD0" w:rsidRPr="00683A09">
        <w:rPr>
          <w:rFonts w:asciiTheme="majorHAnsi" w:hAnsiTheme="majorHAnsi"/>
        </w:rPr>
        <w:t xml:space="preserve"> 3 </w:t>
      </w:r>
      <w:r w:rsidR="007150F6" w:rsidRPr="00683A09">
        <w:rPr>
          <w:rFonts w:asciiTheme="majorHAnsi" w:hAnsiTheme="majorHAnsi"/>
        </w:rPr>
        <w:t>people</w:t>
      </w:r>
      <w:r w:rsidR="00381CD0" w:rsidRPr="00683A09">
        <w:rPr>
          <w:rFonts w:asciiTheme="majorHAnsi" w:hAnsiTheme="majorHAnsi"/>
        </w:rPr>
        <w:t xml:space="preserve"> were shot and injured. </w:t>
      </w:r>
    </w:p>
    <w:p w14:paraId="6BBBCF83" w14:textId="577894A8" w:rsidR="0020013F" w:rsidRPr="00683A09" w:rsidRDefault="001176F4" w:rsidP="003501EB">
      <w:pPr>
        <w:pStyle w:val="ListParagraph"/>
        <w:ind w:left="0"/>
        <w:jc w:val="both"/>
        <w:rPr>
          <w:rFonts w:asciiTheme="majorHAnsi" w:hAnsiTheme="majorHAnsi"/>
        </w:rPr>
      </w:pPr>
      <w:r w:rsidRPr="00683A09">
        <w:rPr>
          <w:rFonts w:asciiTheme="majorHAnsi" w:hAnsiTheme="majorHAnsi"/>
        </w:rPr>
        <w:t xml:space="preserve">This decrease in firearm crimes occurred </w:t>
      </w:r>
      <w:r w:rsidR="0020013F" w:rsidRPr="00683A09">
        <w:rPr>
          <w:rFonts w:asciiTheme="majorHAnsi" w:hAnsiTheme="majorHAnsi"/>
        </w:rPr>
        <w:t>alongside</w:t>
      </w:r>
      <w:r w:rsidRPr="00683A09">
        <w:rPr>
          <w:rFonts w:asciiTheme="majorHAnsi" w:hAnsiTheme="majorHAnsi"/>
        </w:rPr>
        <w:t xml:space="preserve"> a stark increase in the number of firearms recovered by police.  </w:t>
      </w:r>
      <w:r w:rsidR="0020013F" w:rsidRPr="00683A09">
        <w:rPr>
          <w:rFonts w:asciiTheme="majorHAnsi" w:hAnsiTheme="majorHAnsi"/>
        </w:rPr>
        <w:t xml:space="preserve">In 2017 twenty-nine firearms were recovered, an increase of 61% over </w:t>
      </w:r>
      <w:r w:rsidR="00B55AE5" w:rsidRPr="00683A09">
        <w:rPr>
          <w:rFonts w:asciiTheme="majorHAnsi" w:hAnsiTheme="majorHAnsi"/>
        </w:rPr>
        <w:t>2016</w:t>
      </w:r>
      <w:r w:rsidR="0020013F" w:rsidRPr="00683A09">
        <w:rPr>
          <w:rFonts w:asciiTheme="majorHAnsi" w:hAnsiTheme="majorHAnsi"/>
        </w:rPr>
        <w:t xml:space="preserve">, when 18 were recovered. </w:t>
      </w:r>
    </w:p>
    <w:p w14:paraId="7C654ACD" w14:textId="77777777" w:rsidR="0020013F" w:rsidRPr="00683A09" w:rsidRDefault="0020013F" w:rsidP="003501EB">
      <w:pPr>
        <w:pStyle w:val="ListParagraph"/>
        <w:ind w:left="0"/>
        <w:jc w:val="both"/>
        <w:rPr>
          <w:rFonts w:asciiTheme="majorHAnsi" w:hAnsiTheme="majorHAnsi"/>
        </w:rPr>
      </w:pPr>
    </w:p>
    <w:p w14:paraId="746F0761" w14:textId="28BE137D" w:rsidR="001176F4" w:rsidRPr="00683A09" w:rsidRDefault="0020013F" w:rsidP="003501EB">
      <w:pPr>
        <w:pStyle w:val="ListParagraph"/>
        <w:ind w:left="0"/>
        <w:jc w:val="both"/>
        <w:rPr>
          <w:rFonts w:asciiTheme="majorHAnsi" w:hAnsiTheme="majorHAnsi"/>
        </w:rPr>
      </w:pPr>
      <w:r w:rsidRPr="00683A09">
        <w:rPr>
          <w:rFonts w:asciiTheme="majorHAnsi" w:hAnsiTheme="majorHAnsi"/>
        </w:rPr>
        <w:t>Of the 29 firearms recovered in 2017,</w:t>
      </w:r>
      <w:r w:rsidR="001176F4" w:rsidRPr="00683A09">
        <w:rPr>
          <w:rFonts w:asciiTheme="majorHAnsi" w:hAnsiTheme="majorHAnsi"/>
        </w:rPr>
        <w:t xml:space="preserve"> 19 were manufactured firearms and 10 were imitation or modified flare guns or air pistols. In 2016 there were 18 firearms recovered, of which 14 were manufactured firearms and 4 were imitation or mod</w:t>
      </w:r>
      <w:r w:rsidRPr="00683A09">
        <w:rPr>
          <w:rFonts w:asciiTheme="majorHAnsi" w:hAnsiTheme="majorHAnsi"/>
        </w:rPr>
        <w:t>ified flare guns or air pistols</w:t>
      </w:r>
      <w:r w:rsidR="001176F4" w:rsidRPr="00683A09">
        <w:rPr>
          <w:rFonts w:asciiTheme="majorHAnsi" w:hAnsiTheme="majorHAnsi"/>
        </w:rPr>
        <w:t>.</w:t>
      </w:r>
    </w:p>
    <w:p w14:paraId="1EFE7163" w14:textId="77777777" w:rsidR="0020013F" w:rsidRPr="00683A09" w:rsidRDefault="0020013F" w:rsidP="003501EB">
      <w:pPr>
        <w:pStyle w:val="ListParagraph"/>
        <w:ind w:left="0"/>
        <w:jc w:val="both"/>
        <w:rPr>
          <w:rFonts w:asciiTheme="majorHAnsi" w:hAnsiTheme="majorHAnsi"/>
        </w:rPr>
      </w:pPr>
    </w:p>
    <w:p w14:paraId="3472ECCC" w14:textId="38471D30" w:rsidR="002B2DB2" w:rsidRPr="00683A09" w:rsidRDefault="0020013F" w:rsidP="003501EB">
      <w:pPr>
        <w:pStyle w:val="ListParagraph"/>
        <w:ind w:left="0"/>
        <w:jc w:val="both"/>
        <w:rPr>
          <w:rFonts w:asciiTheme="majorHAnsi" w:hAnsiTheme="majorHAnsi"/>
        </w:rPr>
      </w:pPr>
      <w:r w:rsidRPr="00683A09">
        <w:rPr>
          <w:rFonts w:asciiTheme="majorHAnsi" w:hAnsiTheme="majorHAnsi"/>
        </w:rPr>
        <w:t>Figures from the last two years sugge</w:t>
      </w:r>
      <w:r w:rsidR="003501EB" w:rsidRPr="00683A09">
        <w:rPr>
          <w:rFonts w:asciiTheme="majorHAnsi" w:hAnsiTheme="majorHAnsi"/>
        </w:rPr>
        <w:t>st that the removal of illegal firearms</w:t>
      </w:r>
      <w:r w:rsidRPr="00683A09">
        <w:rPr>
          <w:rFonts w:asciiTheme="majorHAnsi" w:hAnsiTheme="majorHAnsi"/>
        </w:rPr>
        <w:t xml:space="preserve"> and a decrease in firearms crimes are strongly correlated.</w:t>
      </w:r>
      <w:r w:rsidR="003501EB" w:rsidRPr="00683A09">
        <w:rPr>
          <w:rFonts w:asciiTheme="majorHAnsi" w:hAnsiTheme="majorHAnsi"/>
        </w:rPr>
        <w:t xml:space="preserve"> </w:t>
      </w:r>
      <w:r w:rsidR="00B55AE5" w:rsidRPr="00683A09">
        <w:rPr>
          <w:rFonts w:asciiTheme="majorHAnsi" w:hAnsiTheme="majorHAnsi"/>
        </w:rPr>
        <w:t>The high number of firearm recoveries</w:t>
      </w:r>
      <w:r w:rsidR="002B2DB2" w:rsidRPr="00683A09">
        <w:rPr>
          <w:rFonts w:asciiTheme="majorHAnsi" w:hAnsiTheme="majorHAnsi"/>
        </w:rPr>
        <w:t xml:space="preserve"> in 2017</w:t>
      </w:r>
      <w:r w:rsidR="008535F3">
        <w:rPr>
          <w:rFonts w:asciiTheme="majorHAnsi" w:hAnsiTheme="majorHAnsi"/>
        </w:rPr>
        <w:t xml:space="preserve"> </w:t>
      </w:r>
      <w:r w:rsidR="002B2DB2" w:rsidRPr="00683A09">
        <w:rPr>
          <w:rFonts w:asciiTheme="majorHAnsi" w:hAnsiTheme="majorHAnsi"/>
        </w:rPr>
        <w:t xml:space="preserve">may have prevented some serious crimes, and </w:t>
      </w:r>
      <w:r w:rsidR="00B55AE5" w:rsidRPr="00683A09">
        <w:rPr>
          <w:rFonts w:asciiTheme="majorHAnsi" w:hAnsiTheme="majorHAnsi"/>
        </w:rPr>
        <w:t xml:space="preserve">is a credit to the officers who </w:t>
      </w:r>
      <w:r w:rsidR="008535F3">
        <w:rPr>
          <w:rFonts w:asciiTheme="majorHAnsi" w:hAnsiTheme="majorHAnsi"/>
        </w:rPr>
        <w:t xml:space="preserve">accepted a </w:t>
      </w:r>
      <w:r w:rsidR="002B2DB2" w:rsidRPr="00683A09">
        <w:rPr>
          <w:rFonts w:asciiTheme="majorHAnsi" w:hAnsiTheme="majorHAnsi"/>
        </w:rPr>
        <w:t xml:space="preserve">level of risk </w:t>
      </w:r>
      <w:r w:rsidR="00B55AE5" w:rsidRPr="00683A09">
        <w:rPr>
          <w:rFonts w:asciiTheme="majorHAnsi" w:hAnsiTheme="majorHAnsi"/>
        </w:rPr>
        <w:t xml:space="preserve">to </w:t>
      </w:r>
      <w:r w:rsidR="002B2DB2" w:rsidRPr="00683A09">
        <w:rPr>
          <w:rFonts w:asciiTheme="majorHAnsi" w:hAnsiTheme="majorHAnsi"/>
        </w:rPr>
        <w:t>take them off the street.</w:t>
      </w:r>
      <w:r w:rsidR="003501EB" w:rsidRPr="00683A09">
        <w:rPr>
          <w:rFonts w:asciiTheme="majorHAnsi" w:hAnsiTheme="majorHAnsi"/>
        </w:rPr>
        <w:t xml:space="preserve"> </w:t>
      </w:r>
    </w:p>
    <w:p w14:paraId="03B864D4" w14:textId="77777777" w:rsidR="002B2DB2" w:rsidRPr="00683A09" w:rsidRDefault="002B2DB2" w:rsidP="003501EB">
      <w:pPr>
        <w:pStyle w:val="ListParagraph"/>
        <w:ind w:left="0"/>
        <w:jc w:val="both"/>
        <w:rPr>
          <w:rFonts w:asciiTheme="majorHAnsi" w:hAnsiTheme="majorHAnsi"/>
        </w:rPr>
      </w:pPr>
    </w:p>
    <w:p w14:paraId="3337841C" w14:textId="1DBC6D12" w:rsidR="0020013F" w:rsidRPr="00683A09" w:rsidRDefault="002B2DB2" w:rsidP="003501EB">
      <w:pPr>
        <w:pStyle w:val="ListParagraph"/>
        <w:ind w:left="0"/>
        <w:jc w:val="both"/>
        <w:rPr>
          <w:rFonts w:asciiTheme="majorHAnsi" w:hAnsiTheme="majorHAnsi"/>
        </w:rPr>
      </w:pPr>
      <w:r w:rsidRPr="00683A09">
        <w:rPr>
          <w:rFonts w:asciiTheme="majorHAnsi" w:hAnsiTheme="majorHAnsi"/>
        </w:rPr>
        <w:t>During 2018, i</w:t>
      </w:r>
      <w:r w:rsidR="003501EB" w:rsidRPr="00683A09">
        <w:rPr>
          <w:rFonts w:asciiTheme="majorHAnsi" w:hAnsiTheme="majorHAnsi"/>
        </w:rPr>
        <w:t xml:space="preserve">n an effort to remove the maximum number of illegal firearms from </w:t>
      </w:r>
      <w:r w:rsidR="0011726C">
        <w:rPr>
          <w:rFonts w:asciiTheme="majorHAnsi" w:hAnsiTheme="majorHAnsi"/>
        </w:rPr>
        <w:t xml:space="preserve">our </w:t>
      </w:r>
      <w:r w:rsidR="00EA7ECE">
        <w:rPr>
          <w:rFonts w:asciiTheme="majorHAnsi" w:hAnsiTheme="majorHAnsi"/>
        </w:rPr>
        <w:t>communities</w:t>
      </w:r>
      <w:r w:rsidR="003501EB" w:rsidRPr="00683A09">
        <w:rPr>
          <w:rFonts w:asciiTheme="majorHAnsi" w:hAnsiTheme="majorHAnsi"/>
        </w:rPr>
        <w:t>, the RCIPS will be conducting a firearms amnesty together with partners from the business and religious communities, as well as non-profit organizations.</w:t>
      </w:r>
    </w:p>
    <w:p w14:paraId="230FE100" w14:textId="77777777" w:rsidR="0020013F" w:rsidRDefault="0020013F" w:rsidP="001176F4">
      <w:pPr>
        <w:pStyle w:val="ListParagraph"/>
        <w:ind w:left="0"/>
        <w:rPr>
          <w:rFonts w:asciiTheme="majorHAnsi" w:hAnsiTheme="majorHAnsi"/>
        </w:rPr>
      </w:pPr>
    </w:p>
    <w:p w14:paraId="0510E1A4" w14:textId="77777777" w:rsidR="0011726C" w:rsidRPr="00683A09" w:rsidRDefault="0011726C" w:rsidP="001176F4">
      <w:pPr>
        <w:pStyle w:val="ListParagraph"/>
        <w:ind w:left="0"/>
        <w:rPr>
          <w:rFonts w:asciiTheme="majorHAnsi" w:hAnsiTheme="majorHAnsi"/>
        </w:rPr>
      </w:pPr>
    </w:p>
    <w:p w14:paraId="2250A7AD" w14:textId="38F3AB83" w:rsidR="0020013F" w:rsidRPr="00683A09" w:rsidRDefault="00F3608B" w:rsidP="001176F4">
      <w:pPr>
        <w:pStyle w:val="ListParagraph"/>
        <w:ind w:left="0"/>
        <w:rPr>
          <w:rFonts w:asciiTheme="majorHAnsi" w:hAnsiTheme="majorHAnsi"/>
          <w:b/>
        </w:rPr>
      </w:pPr>
      <w:r w:rsidRPr="00683A09">
        <w:rPr>
          <w:rFonts w:asciiTheme="majorHAnsi" w:hAnsiTheme="majorHAnsi"/>
          <w:b/>
        </w:rPr>
        <w:t>8</w:t>
      </w:r>
      <w:r w:rsidR="009A776D" w:rsidRPr="00683A09">
        <w:rPr>
          <w:rFonts w:asciiTheme="majorHAnsi" w:hAnsiTheme="majorHAnsi"/>
          <w:b/>
        </w:rPr>
        <w:t xml:space="preserve">. </w:t>
      </w:r>
      <w:r w:rsidR="00E834DF" w:rsidRPr="00683A09">
        <w:rPr>
          <w:rFonts w:asciiTheme="majorHAnsi" w:hAnsiTheme="majorHAnsi"/>
          <w:b/>
        </w:rPr>
        <w:t>Drug Offences</w:t>
      </w:r>
    </w:p>
    <w:p w14:paraId="3A32822A" w14:textId="77777777" w:rsidR="00863053" w:rsidRPr="00683A09" w:rsidRDefault="00863053" w:rsidP="002F728B">
      <w:pPr>
        <w:jc w:val="both"/>
        <w:rPr>
          <w:rFonts w:asciiTheme="majorHAnsi" w:hAnsiTheme="majorHAnsi"/>
        </w:rPr>
      </w:pPr>
    </w:p>
    <w:p w14:paraId="304A96C4" w14:textId="6A37B25B" w:rsidR="00413CBB" w:rsidRPr="00683A09" w:rsidRDefault="00E834DF" w:rsidP="00E834DF">
      <w:pPr>
        <w:pStyle w:val="ListParagraph"/>
        <w:ind w:left="0"/>
        <w:jc w:val="both"/>
        <w:rPr>
          <w:rFonts w:asciiTheme="majorHAnsi" w:hAnsiTheme="majorHAnsi"/>
        </w:rPr>
      </w:pPr>
      <w:r w:rsidRPr="00683A09">
        <w:rPr>
          <w:rFonts w:asciiTheme="majorHAnsi" w:hAnsiTheme="majorHAnsi"/>
        </w:rPr>
        <w:t xml:space="preserve">Drug Offences are broken down into several categories, as shown in </w:t>
      </w:r>
      <w:r w:rsidR="0011726C">
        <w:rPr>
          <w:rFonts w:asciiTheme="majorHAnsi" w:hAnsiTheme="majorHAnsi"/>
          <w:i/>
        </w:rPr>
        <w:t>Figure 4</w:t>
      </w:r>
      <w:r w:rsidRPr="00683A09">
        <w:rPr>
          <w:rFonts w:asciiTheme="majorHAnsi" w:hAnsiTheme="majorHAnsi"/>
        </w:rPr>
        <w:t>. The largest drug seizures were of Cannabis (Ganja), followed by Cocaine (</w:t>
      </w:r>
      <w:r w:rsidR="0011726C">
        <w:rPr>
          <w:rFonts w:asciiTheme="majorHAnsi" w:hAnsiTheme="majorHAnsi"/>
          <w:i/>
        </w:rPr>
        <w:t>See Figure 5</w:t>
      </w:r>
      <w:r w:rsidRPr="00683A09">
        <w:rPr>
          <w:rFonts w:asciiTheme="majorHAnsi" w:hAnsiTheme="majorHAnsi"/>
        </w:rPr>
        <w:t xml:space="preserve">).  </w:t>
      </w:r>
    </w:p>
    <w:p w14:paraId="22B0381A" w14:textId="77777777" w:rsidR="00413CBB" w:rsidRPr="00683A09" w:rsidRDefault="00413CBB" w:rsidP="00E834DF">
      <w:pPr>
        <w:pStyle w:val="ListParagraph"/>
        <w:ind w:left="0"/>
        <w:jc w:val="both"/>
        <w:rPr>
          <w:rFonts w:asciiTheme="majorHAnsi" w:hAnsiTheme="majorHAnsi"/>
        </w:rPr>
      </w:pPr>
    </w:p>
    <w:p w14:paraId="31753BEF" w14:textId="36EFBE6B" w:rsidR="00E834DF" w:rsidRPr="00683A09" w:rsidRDefault="00E834DF" w:rsidP="00413CBB">
      <w:pPr>
        <w:spacing w:after="200" w:line="276" w:lineRule="auto"/>
        <w:jc w:val="both"/>
        <w:rPr>
          <w:rFonts w:asciiTheme="majorHAnsi" w:hAnsiTheme="majorHAnsi"/>
        </w:rPr>
      </w:pPr>
      <w:r w:rsidRPr="00683A09">
        <w:rPr>
          <w:rFonts w:asciiTheme="majorHAnsi" w:hAnsiTheme="majorHAnsi"/>
        </w:rPr>
        <w:t>T</w:t>
      </w:r>
      <w:r w:rsidR="0087544E">
        <w:rPr>
          <w:rFonts w:asciiTheme="majorHAnsi" w:hAnsiTheme="majorHAnsi"/>
        </w:rPr>
        <w:t>h</w:t>
      </w:r>
      <w:r w:rsidR="002E7DC1">
        <w:rPr>
          <w:rFonts w:asciiTheme="majorHAnsi" w:hAnsiTheme="majorHAnsi"/>
        </w:rPr>
        <w:t>e majority of drug offences</w:t>
      </w:r>
      <w:r w:rsidRPr="00683A09">
        <w:rPr>
          <w:rFonts w:asciiTheme="majorHAnsi" w:hAnsiTheme="majorHAnsi"/>
        </w:rPr>
        <w:t xml:space="preserve"> resulted in arrests, and generally stem</w:t>
      </w:r>
      <w:r w:rsidR="002E7DC1">
        <w:rPr>
          <w:rFonts w:asciiTheme="majorHAnsi" w:hAnsiTheme="majorHAnsi"/>
        </w:rPr>
        <w:t>med</w:t>
      </w:r>
      <w:r w:rsidRPr="00683A09">
        <w:rPr>
          <w:rFonts w:asciiTheme="majorHAnsi" w:hAnsiTheme="majorHAnsi"/>
        </w:rPr>
        <w:t xml:space="preserve"> from proactive policing and police operations.</w:t>
      </w:r>
      <w:r w:rsidR="00413CBB" w:rsidRPr="00683A09">
        <w:rPr>
          <w:rFonts w:asciiTheme="majorHAnsi" w:hAnsiTheme="majorHAnsi"/>
        </w:rPr>
        <w:t xml:space="preserve">  In 2017, 168 drug crimes were recorded, of which 112 have been detected to date. In 2016, 189 were recorded and 163 have been detected to date.</w:t>
      </w:r>
      <w:r w:rsidR="0055630C" w:rsidRPr="00683A09">
        <w:rPr>
          <w:rFonts w:asciiTheme="majorHAnsi" w:hAnsiTheme="majorHAnsi"/>
        </w:rPr>
        <w:t xml:space="preserve"> </w:t>
      </w:r>
      <w:r w:rsidR="00632B01">
        <w:rPr>
          <w:rFonts w:asciiTheme="majorHAnsi" w:hAnsiTheme="majorHAnsi"/>
        </w:rPr>
        <w:t xml:space="preserve"> In sum, the average detection rate for drug offences is nearly 80% for the past two years.</w:t>
      </w:r>
      <w:r w:rsidR="00111910">
        <w:rPr>
          <w:rFonts w:asciiTheme="majorHAnsi" w:hAnsiTheme="majorHAnsi"/>
        </w:rPr>
        <w:t xml:space="preserve">  </w:t>
      </w:r>
    </w:p>
    <w:p w14:paraId="5F33ED7B" w14:textId="2668D0F6" w:rsidR="00A841BB" w:rsidRDefault="00111910" w:rsidP="00413CBB">
      <w:pPr>
        <w:spacing w:after="200" w:line="276" w:lineRule="auto"/>
        <w:jc w:val="both"/>
        <w:rPr>
          <w:rFonts w:asciiTheme="majorHAnsi" w:hAnsiTheme="majorHAnsi"/>
        </w:rPr>
      </w:pPr>
      <w:r w:rsidRPr="00683A09">
        <w:rPr>
          <w:rFonts w:asciiTheme="majorHAnsi" w:hAnsiTheme="majorHAnsi"/>
        </w:rPr>
        <w:t xml:space="preserve">Overall, there was an 11% (21) decrease in drug crimes in comparison with 2016. </w:t>
      </w:r>
      <w:r w:rsidR="00A841BB">
        <w:rPr>
          <w:rFonts w:asciiTheme="majorHAnsi" w:hAnsiTheme="majorHAnsi"/>
        </w:rPr>
        <w:t>It is important to note that decreases in discrete drug offences can happen even while the overall amount of drug seizures and drug enforcement increases.  Interdictions of drug shipments remove large quantities of drugs from circulation, which then results in fewer individuals being in possession of, and likewise being arrested for, drug crimes.</w:t>
      </w:r>
    </w:p>
    <w:p w14:paraId="0F636F69" w14:textId="129A826F" w:rsidR="0021054D" w:rsidRPr="00683A09" w:rsidRDefault="00E834DF" w:rsidP="00111910">
      <w:pPr>
        <w:spacing w:after="200" w:line="276" w:lineRule="auto"/>
        <w:jc w:val="both"/>
        <w:rPr>
          <w:rFonts w:asciiTheme="majorHAnsi" w:hAnsiTheme="majorHAnsi"/>
        </w:rPr>
      </w:pPr>
      <w:r w:rsidRPr="00683A09">
        <w:rPr>
          <w:rFonts w:asciiTheme="majorHAnsi" w:hAnsiTheme="majorHAnsi"/>
        </w:rPr>
        <w:t xml:space="preserve">Drug </w:t>
      </w:r>
      <w:r w:rsidR="00413CBB" w:rsidRPr="00683A09">
        <w:rPr>
          <w:rFonts w:asciiTheme="majorHAnsi" w:hAnsiTheme="majorHAnsi"/>
        </w:rPr>
        <w:t>offences account</w:t>
      </w:r>
      <w:r w:rsidRPr="00683A09">
        <w:rPr>
          <w:rFonts w:asciiTheme="majorHAnsi" w:hAnsiTheme="majorHAnsi"/>
        </w:rPr>
        <w:t xml:space="preserve"> for 4% of all crimes recorded</w:t>
      </w:r>
      <w:r w:rsidR="00111910">
        <w:rPr>
          <w:rFonts w:asciiTheme="majorHAnsi" w:hAnsiTheme="majorHAnsi"/>
        </w:rPr>
        <w:t xml:space="preserve"> in the Cayman Islands in 2017.</w:t>
      </w:r>
    </w:p>
    <w:p w14:paraId="164FE45F" w14:textId="04B3B33E" w:rsidR="009062FC" w:rsidRPr="00683A09" w:rsidRDefault="00D63335" w:rsidP="00C41411">
      <w:pPr>
        <w:pStyle w:val="ListParagraph"/>
        <w:ind w:left="0"/>
        <w:jc w:val="both"/>
        <w:rPr>
          <w:rFonts w:asciiTheme="majorHAnsi" w:hAnsiTheme="majorHAnsi"/>
        </w:rPr>
      </w:pPr>
      <w:r>
        <w:rPr>
          <w:rFonts w:asciiTheme="majorHAnsi" w:hAnsiTheme="majorHAnsi"/>
          <w:i/>
        </w:rPr>
        <w:t>Figure 5</w:t>
      </w:r>
      <w:r w:rsidR="00413CBB" w:rsidRPr="00683A09">
        <w:rPr>
          <w:rFonts w:asciiTheme="majorHAnsi" w:hAnsiTheme="majorHAnsi"/>
        </w:rPr>
        <w:t xml:space="preserve"> is compiled based upon requests for forensic examinations of recovered drugs. In 2017, 562 requests were made for such forensic examinations.  The drugs that were processed are broken down into the different categories below, showing the total weight in each category.</w:t>
      </w:r>
      <w:r w:rsidR="00C41411">
        <w:rPr>
          <w:rFonts w:asciiTheme="majorHAnsi" w:hAnsiTheme="majorHAnsi"/>
        </w:rPr>
        <w:t xml:space="preserve">  </w:t>
      </w:r>
      <w:r w:rsidR="0011726C">
        <w:rPr>
          <w:rFonts w:asciiTheme="majorHAnsi" w:hAnsiTheme="majorHAnsi"/>
        </w:rPr>
        <w:t>The total amount of ganja seized in 2017 was 1,635 lbs., which was slightly higher than the amount seized in 2016 of 1,489 lbs.</w:t>
      </w:r>
      <w:r>
        <w:rPr>
          <w:rFonts w:asciiTheme="majorHAnsi" w:hAnsiTheme="majorHAnsi"/>
        </w:rPr>
        <w:t xml:space="preserve">  </w:t>
      </w:r>
    </w:p>
    <w:p w14:paraId="11F8CB55" w14:textId="77777777" w:rsidR="009062FC" w:rsidRPr="00683A09" w:rsidRDefault="009062FC" w:rsidP="002F728B">
      <w:pPr>
        <w:jc w:val="both"/>
        <w:rPr>
          <w:rFonts w:asciiTheme="majorHAnsi" w:hAnsiTheme="majorHAnsi"/>
        </w:rPr>
      </w:pPr>
    </w:p>
    <w:p w14:paraId="08E966A1" w14:textId="7C95D312" w:rsidR="00315CBA" w:rsidRPr="00683A09" w:rsidRDefault="00F3608B" w:rsidP="009A776D">
      <w:pPr>
        <w:spacing w:after="200" w:line="276" w:lineRule="auto"/>
        <w:rPr>
          <w:rFonts w:asciiTheme="majorHAnsi" w:hAnsiTheme="majorHAnsi"/>
          <w:b/>
        </w:rPr>
      </w:pPr>
      <w:r w:rsidRPr="00683A09">
        <w:rPr>
          <w:rFonts w:asciiTheme="majorHAnsi" w:hAnsiTheme="majorHAnsi"/>
          <w:b/>
        </w:rPr>
        <w:t>9</w:t>
      </w:r>
      <w:r w:rsidR="009A776D" w:rsidRPr="00683A09">
        <w:rPr>
          <w:rFonts w:asciiTheme="majorHAnsi" w:hAnsiTheme="majorHAnsi"/>
          <w:b/>
        </w:rPr>
        <w:t xml:space="preserve">. Domestic Violence and </w:t>
      </w:r>
      <w:r w:rsidR="00E05B2F">
        <w:rPr>
          <w:rFonts w:asciiTheme="majorHAnsi" w:hAnsiTheme="majorHAnsi"/>
          <w:b/>
        </w:rPr>
        <w:t>Child Safeguarding</w:t>
      </w:r>
      <w:r w:rsidR="009A776D" w:rsidRPr="00683A09">
        <w:rPr>
          <w:rFonts w:asciiTheme="majorHAnsi" w:hAnsiTheme="majorHAnsi"/>
          <w:b/>
        </w:rPr>
        <w:t xml:space="preserve"> Referrals</w:t>
      </w:r>
    </w:p>
    <w:p w14:paraId="3F028A2C" w14:textId="1FB77A45" w:rsidR="00F551DE" w:rsidRPr="00111910" w:rsidRDefault="009A776D" w:rsidP="00F551DE">
      <w:pPr>
        <w:pStyle w:val="ListParagraph"/>
        <w:ind w:left="0"/>
        <w:jc w:val="both"/>
        <w:rPr>
          <w:rFonts w:asciiTheme="majorHAnsi" w:hAnsiTheme="majorHAnsi"/>
        </w:rPr>
      </w:pPr>
      <w:r w:rsidRPr="00111910">
        <w:rPr>
          <w:rFonts w:asciiTheme="majorHAnsi" w:hAnsiTheme="majorHAnsi"/>
        </w:rPr>
        <w:t>Presenting accurate</w:t>
      </w:r>
      <w:r w:rsidRPr="00111910">
        <w:rPr>
          <w:rFonts w:asciiTheme="majorHAnsi" w:hAnsiTheme="majorHAnsi"/>
          <w:b/>
        </w:rPr>
        <w:t xml:space="preserve"> </w:t>
      </w:r>
      <w:r w:rsidRPr="00111910">
        <w:rPr>
          <w:rFonts w:asciiTheme="majorHAnsi" w:hAnsiTheme="majorHAnsi"/>
        </w:rPr>
        <w:t xml:space="preserve">statistics regarding crimes that occur within the home or involve </w:t>
      </w:r>
      <w:r w:rsidR="00A62E0C">
        <w:rPr>
          <w:rFonts w:asciiTheme="majorHAnsi" w:hAnsiTheme="majorHAnsi"/>
        </w:rPr>
        <w:t>children victims</w:t>
      </w:r>
      <w:r w:rsidRPr="00111910">
        <w:rPr>
          <w:rFonts w:asciiTheme="majorHAnsi" w:hAnsiTheme="majorHAnsi"/>
        </w:rPr>
        <w:t xml:space="preserve"> typically presents a challenge, since such violence or abuse does not </w:t>
      </w:r>
      <w:r w:rsidR="00111910" w:rsidRPr="00111910">
        <w:rPr>
          <w:rFonts w:asciiTheme="majorHAnsi" w:hAnsiTheme="majorHAnsi"/>
        </w:rPr>
        <w:t>typically</w:t>
      </w:r>
      <w:r w:rsidR="009D3CFB" w:rsidRPr="00111910">
        <w:rPr>
          <w:rFonts w:asciiTheme="majorHAnsi" w:hAnsiTheme="majorHAnsi"/>
        </w:rPr>
        <w:t xml:space="preserve"> </w:t>
      </w:r>
      <w:r w:rsidRPr="00111910">
        <w:rPr>
          <w:rFonts w:asciiTheme="majorHAnsi" w:hAnsiTheme="majorHAnsi"/>
        </w:rPr>
        <w:t xml:space="preserve">fall </w:t>
      </w:r>
      <w:r w:rsidR="009D3CFB" w:rsidRPr="00111910">
        <w:rPr>
          <w:rFonts w:asciiTheme="majorHAnsi" w:hAnsiTheme="majorHAnsi"/>
        </w:rPr>
        <w:t xml:space="preserve">neatly </w:t>
      </w:r>
      <w:r w:rsidRPr="00111910">
        <w:rPr>
          <w:rFonts w:asciiTheme="majorHAnsi" w:hAnsiTheme="majorHAnsi"/>
        </w:rPr>
        <w:t xml:space="preserve">within </w:t>
      </w:r>
      <w:r w:rsidR="009D3CFB" w:rsidRPr="00111910">
        <w:rPr>
          <w:rFonts w:asciiTheme="majorHAnsi" w:hAnsiTheme="majorHAnsi"/>
        </w:rPr>
        <w:t xml:space="preserve">the parameters of specific offences, but may span across different offences, depending on the circumstances.  </w:t>
      </w:r>
      <w:r w:rsidR="001F7A47" w:rsidRPr="00111910">
        <w:rPr>
          <w:rFonts w:asciiTheme="majorHAnsi" w:hAnsiTheme="majorHAnsi"/>
        </w:rPr>
        <w:t>It is instructive in this regard to recall the definition of domestic violence as "</w:t>
      </w:r>
      <w:r w:rsidR="001F7A47" w:rsidRPr="00111910">
        <w:rPr>
          <w:rFonts w:asciiTheme="majorHAnsi" w:hAnsiTheme="majorHAnsi"/>
          <w:bCs/>
        </w:rPr>
        <w:t>the physical, sexual, emotional or financial abuse of one person by another who is in or has been in a personal relationship with them. The relationship may be between partners or ex-partners or other family members.”</w:t>
      </w:r>
      <w:r w:rsidR="007735B1" w:rsidRPr="00111910">
        <w:rPr>
          <w:rStyle w:val="FootnoteReference"/>
          <w:rFonts w:asciiTheme="majorHAnsi" w:hAnsiTheme="majorHAnsi"/>
          <w:bCs/>
        </w:rPr>
        <w:footnoteReference w:id="7"/>
      </w:r>
      <w:r w:rsidR="001F7A47" w:rsidRPr="00111910">
        <w:rPr>
          <w:b/>
          <w:bCs/>
        </w:rPr>
        <w:t xml:space="preserve"> </w:t>
      </w:r>
      <w:r w:rsidR="001F7A47" w:rsidRPr="00111910">
        <w:rPr>
          <w:color w:val="1F497D"/>
        </w:rPr>
        <w:t> </w:t>
      </w:r>
      <w:r w:rsidR="009D3CFB" w:rsidRPr="00111910">
        <w:rPr>
          <w:rFonts w:asciiTheme="majorHAnsi" w:hAnsiTheme="majorHAnsi"/>
        </w:rPr>
        <w:t xml:space="preserve">Therefore, it is not </w:t>
      </w:r>
      <w:r w:rsidR="001F7A47" w:rsidRPr="00111910">
        <w:rPr>
          <w:rFonts w:asciiTheme="majorHAnsi" w:hAnsiTheme="majorHAnsi"/>
        </w:rPr>
        <w:t>possible</w:t>
      </w:r>
      <w:r w:rsidR="009D3CFB" w:rsidRPr="00111910">
        <w:rPr>
          <w:rFonts w:asciiTheme="majorHAnsi" w:hAnsiTheme="majorHAnsi"/>
        </w:rPr>
        <w:t xml:space="preserve"> to look to one offence, e.g., Threats to </w:t>
      </w:r>
      <w:proofErr w:type="gramStart"/>
      <w:r w:rsidR="009D3CFB" w:rsidRPr="00111910">
        <w:rPr>
          <w:rFonts w:asciiTheme="majorHAnsi" w:hAnsiTheme="majorHAnsi"/>
        </w:rPr>
        <w:t>Kill</w:t>
      </w:r>
      <w:proofErr w:type="gramEnd"/>
      <w:r w:rsidR="009D3CFB" w:rsidRPr="00111910">
        <w:rPr>
          <w:rFonts w:asciiTheme="majorHAnsi" w:hAnsiTheme="majorHAnsi"/>
        </w:rPr>
        <w:t xml:space="preserve">, as an indicator of domestic violence, when not all </w:t>
      </w:r>
      <w:r w:rsidR="007735B1" w:rsidRPr="00111910">
        <w:rPr>
          <w:rFonts w:asciiTheme="majorHAnsi" w:hAnsiTheme="majorHAnsi"/>
        </w:rPr>
        <w:t xml:space="preserve">such </w:t>
      </w:r>
      <w:r w:rsidR="009D3CFB" w:rsidRPr="00111910">
        <w:rPr>
          <w:rFonts w:asciiTheme="majorHAnsi" w:hAnsiTheme="majorHAnsi"/>
        </w:rPr>
        <w:t xml:space="preserve">threats are domestic in nature, and domestic violence in many situations may </w:t>
      </w:r>
      <w:r w:rsidR="007735B1" w:rsidRPr="00111910">
        <w:rPr>
          <w:rFonts w:asciiTheme="majorHAnsi" w:hAnsiTheme="majorHAnsi"/>
        </w:rPr>
        <w:t>not include threats at all</w:t>
      </w:r>
      <w:r w:rsidR="009D3CFB" w:rsidRPr="00111910">
        <w:rPr>
          <w:rFonts w:asciiTheme="majorHAnsi" w:hAnsiTheme="majorHAnsi"/>
        </w:rPr>
        <w:t xml:space="preserve">.  Therefore, a statistical indicator </w:t>
      </w:r>
      <w:r w:rsidR="009D3CFB" w:rsidRPr="00111910">
        <w:rPr>
          <w:rFonts w:asciiTheme="majorHAnsi" w:hAnsiTheme="majorHAnsi"/>
          <w:i/>
        </w:rPr>
        <w:t>specific to domestic violence or child abuse</w:t>
      </w:r>
      <w:r w:rsidR="009D3CFB" w:rsidRPr="00111910">
        <w:rPr>
          <w:rFonts w:asciiTheme="majorHAnsi" w:hAnsiTheme="majorHAnsi"/>
        </w:rPr>
        <w:t xml:space="preserve"> must be used to obtain figures that illustrate the amount of </w:t>
      </w:r>
      <w:r w:rsidR="00F551DE" w:rsidRPr="00111910">
        <w:rPr>
          <w:rFonts w:asciiTheme="majorHAnsi" w:hAnsiTheme="majorHAnsi"/>
        </w:rPr>
        <w:t xml:space="preserve">this type of violence or abuse being reported. </w:t>
      </w:r>
    </w:p>
    <w:p w14:paraId="66D9016D" w14:textId="77777777" w:rsidR="00AC16B8" w:rsidRPr="00683A09" w:rsidRDefault="00AC16B8" w:rsidP="00F551DE">
      <w:pPr>
        <w:pStyle w:val="ListParagraph"/>
        <w:ind w:left="0"/>
        <w:jc w:val="both"/>
        <w:rPr>
          <w:rFonts w:asciiTheme="majorHAnsi" w:hAnsiTheme="majorHAnsi"/>
        </w:rPr>
      </w:pPr>
    </w:p>
    <w:p w14:paraId="59B2A40C" w14:textId="6F687C92" w:rsidR="00315CBA" w:rsidRPr="00683A09" w:rsidRDefault="00F1691B" w:rsidP="00F1691B">
      <w:pPr>
        <w:pStyle w:val="ListParagraph"/>
        <w:ind w:left="0"/>
        <w:jc w:val="both"/>
        <w:rPr>
          <w:rFonts w:asciiTheme="majorHAnsi" w:hAnsiTheme="majorHAnsi"/>
        </w:rPr>
      </w:pPr>
      <w:r w:rsidRPr="00683A09">
        <w:rPr>
          <w:rFonts w:asciiTheme="majorHAnsi" w:hAnsiTheme="majorHAnsi"/>
        </w:rPr>
        <w:lastRenderedPageBreak/>
        <w:t xml:space="preserve">Within the RCIPS, this indicator takes the form of a </w:t>
      </w:r>
      <w:r w:rsidRPr="00683A09">
        <w:rPr>
          <w:rFonts w:asciiTheme="majorHAnsi" w:hAnsiTheme="majorHAnsi"/>
          <w:i/>
        </w:rPr>
        <w:t>referral</w:t>
      </w:r>
      <w:r w:rsidRPr="00683A09">
        <w:rPr>
          <w:rFonts w:asciiTheme="majorHAnsi" w:hAnsiTheme="majorHAnsi"/>
        </w:rPr>
        <w:t xml:space="preserve"> from police officers or civilian intake staff to t</w:t>
      </w:r>
      <w:r w:rsidR="00315CBA" w:rsidRPr="00683A09">
        <w:rPr>
          <w:rFonts w:asciiTheme="majorHAnsi" w:hAnsiTheme="majorHAnsi"/>
        </w:rPr>
        <w:t>he Family Support Unit</w:t>
      </w:r>
      <w:r w:rsidR="007735B1">
        <w:rPr>
          <w:rFonts w:asciiTheme="majorHAnsi" w:hAnsiTheme="majorHAnsi"/>
        </w:rPr>
        <w:t xml:space="preserve"> or </w:t>
      </w:r>
      <w:r w:rsidR="007735B1" w:rsidRPr="00683A09">
        <w:rPr>
          <w:rFonts w:asciiTheme="majorHAnsi" w:hAnsiTheme="majorHAnsi"/>
        </w:rPr>
        <w:t>Multi-Agency Safeguarding Hub (MASH)</w:t>
      </w:r>
      <w:r w:rsidRPr="00683A09">
        <w:rPr>
          <w:rFonts w:asciiTheme="majorHAnsi" w:hAnsiTheme="majorHAnsi"/>
        </w:rPr>
        <w:t>.  If a 9-1-1 call for service or report is taken which indicates</w:t>
      </w:r>
      <w:r w:rsidR="00315CBA" w:rsidRPr="00683A09">
        <w:rPr>
          <w:rFonts w:asciiTheme="majorHAnsi" w:hAnsiTheme="majorHAnsi"/>
        </w:rPr>
        <w:t xml:space="preserve"> </w:t>
      </w:r>
      <w:r w:rsidR="004C2391">
        <w:rPr>
          <w:rFonts w:asciiTheme="majorHAnsi" w:hAnsiTheme="majorHAnsi"/>
        </w:rPr>
        <w:t>that individuals are at-</w:t>
      </w:r>
      <w:r w:rsidRPr="00683A09">
        <w:rPr>
          <w:rFonts w:asciiTheme="majorHAnsi" w:hAnsiTheme="majorHAnsi"/>
        </w:rPr>
        <w:t xml:space="preserve">risk for </w:t>
      </w:r>
      <w:r w:rsidR="00315CBA" w:rsidRPr="00683A09">
        <w:rPr>
          <w:rFonts w:asciiTheme="majorHAnsi" w:hAnsiTheme="majorHAnsi"/>
        </w:rPr>
        <w:t>domestic</w:t>
      </w:r>
      <w:r w:rsidR="004C2391">
        <w:rPr>
          <w:rFonts w:asciiTheme="majorHAnsi" w:hAnsiTheme="majorHAnsi"/>
        </w:rPr>
        <w:t xml:space="preserve"> violence, or that </w:t>
      </w:r>
      <w:r w:rsidR="00E05B2F">
        <w:rPr>
          <w:rFonts w:asciiTheme="majorHAnsi" w:hAnsiTheme="majorHAnsi"/>
        </w:rPr>
        <w:t>children</w:t>
      </w:r>
      <w:r w:rsidR="004C2391">
        <w:rPr>
          <w:rFonts w:asciiTheme="majorHAnsi" w:hAnsiTheme="majorHAnsi"/>
        </w:rPr>
        <w:t xml:space="preserve"> may be in need of protection</w:t>
      </w:r>
      <w:r w:rsidRPr="00683A09">
        <w:rPr>
          <w:rFonts w:asciiTheme="majorHAnsi" w:hAnsiTheme="majorHAnsi"/>
        </w:rPr>
        <w:t>, a referral is generated</w:t>
      </w:r>
      <w:r w:rsidR="00315CBA" w:rsidRPr="00683A09">
        <w:rPr>
          <w:rFonts w:asciiTheme="majorHAnsi" w:hAnsiTheme="majorHAnsi"/>
        </w:rPr>
        <w:t xml:space="preserve"> </w:t>
      </w:r>
      <w:r w:rsidR="00A62E0C">
        <w:rPr>
          <w:rFonts w:asciiTheme="majorHAnsi" w:hAnsiTheme="majorHAnsi"/>
        </w:rPr>
        <w:t xml:space="preserve">to the Family Support Unit/MASH </w:t>
      </w:r>
      <w:r w:rsidRPr="00683A09">
        <w:rPr>
          <w:rFonts w:asciiTheme="majorHAnsi" w:hAnsiTheme="majorHAnsi"/>
        </w:rPr>
        <w:t>for its information, guidance, and investigation if necessary</w:t>
      </w:r>
      <w:r w:rsidR="00315CBA" w:rsidRPr="00683A09">
        <w:rPr>
          <w:rFonts w:asciiTheme="majorHAnsi" w:hAnsiTheme="majorHAnsi"/>
        </w:rPr>
        <w:t>. The</w:t>
      </w:r>
      <w:r w:rsidRPr="00683A09">
        <w:rPr>
          <w:rFonts w:asciiTheme="majorHAnsi" w:hAnsiTheme="majorHAnsi"/>
        </w:rPr>
        <w:t>se</w:t>
      </w:r>
      <w:r w:rsidR="00315CBA" w:rsidRPr="00683A09">
        <w:rPr>
          <w:rFonts w:asciiTheme="majorHAnsi" w:hAnsiTheme="majorHAnsi"/>
        </w:rPr>
        <w:t xml:space="preserve"> referrals are split into two categories, Domestic</w:t>
      </w:r>
      <w:r w:rsidRPr="00683A09">
        <w:rPr>
          <w:rFonts w:asciiTheme="majorHAnsi" w:hAnsiTheme="majorHAnsi"/>
        </w:rPr>
        <w:t xml:space="preserve"> Violence</w:t>
      </w:r>
      <w:r w:rsidR="00315CBA" w:rsidRPr="00683A09">
        <w:rPr>
          <w:rFonts w:asciiTheme="majorHAnsi" w:hAnsiTheme="majorHAnsi"/>
        </w:rPr>
        <w:t xml:space="preserve"> and </w:t>
      </w:r>
      <w:r w:rsidR="00E05B2F">
        <w:rPr>
          <w:rFonts w:asciiTheme="majorHAnsi" w:hAnsiTheme="majorHAnsi"/>
        </w:rPr>
        <w:t>Child protection</w:t>
      </w:r>
      <w:r w:rsidR="00315CBA" w:rsidRPr="00683A09">
        <w:rPr>
          <w:rFonts w:asciiTheme="majorHAnsi" w:hAnsiTheme="majorHAnsi"/>
        </w:rPr>
        <w:t xml:space="preserve"> referrals. </w:t>
      </w:r>
      <w:r w:rsidRPr="00683A09">
        <w:rPr>
          <w:rFonts w:asciiTheme="majorHAnsi" w:hAnsiTheme="majorHAnsi"/>
        </w:rPr>
        <w:t xml:space="preserve"> Most often these referrals result from reports of</w:t>
      </w:r>
      <w:r w:rsidR="00315CBA" w:rsidRPr="00683A09">
        <w:rPr>
          <w:rFonts w:asciiTheme="majorHAnsi" w:hAnsiTheme="majorHAnsi"/>
        </w:rPr>
        <w:t xml:space="preserve"> physical violence, verbal arguments and </w:t>
      </w:r>
      <w:r w:rsidRPr="00683A09">
        <w:rPr>
          <w:rFonts w:asciiTheme="majorHAnsi" w:hAnsiTheme="majorHAnsi"/>
        </w:rPr>
        <w:t>other incidents which indicate that a vulnerable person is at risk</w:t>
      </w:r>
      <w:r w:rsidR="00315CBA" w:rsidRPr="00683A09">
        <w:rPr>
          <w:rFonts w:asciiTheme="majorHAnsi" w:hAnsiTheme="majorHAnsi"/>
        </w:rPr>
        <w:t xml:space="preserve">. </w:t>
      </w:r>
    </w:p>
    <w:p w14:paraId="1FC9FD57" w14:textId="77777777" w:rsidR="009B1DBD" w:rsidRDefault="009B1DBD" w:rsidP="00F1691B">
      <w:pPr>
        <w:pStyle w:val="ListParagraph"/>
        <w:ind w:left="0"/>
        <w:jc w:val="both"/>
        <w:rPr>
          <w:rFonts w:asciiTheme="majorHAnsi" w:hAnsiTheme="majorHAnsi"/>
        </w:rPr>
      </w:pPr>
    </w:p>
    <w:p w14:paraId="30E55A3C" w14:textId="77441CBF" w:rsidR="00E05B2F" w:rsidRPr="00A018C0" w:rsidRDefault="00C42FCA" w:rsidP="00E05B2F">
      <w:pPr>
        <w:jc w:val="both"/>
        <w:rPr>
          <w:rFonts w:asciiTheme="majorHAnsi" w:hAnsiTheme="majorHAnsi"/>
          <w:b/>
          <w:sz w:val="22"/>
          <w:szCs w:val="22"/>
        </w:rPr>
      </w:pPr>
      <w:r>
        <w:rPr>
          <w:rFonts w:asciiTheme="majorHAnsi" w:hAnsiTheme="majorHAnsi"/>
          <w:i/>
          <w:sz w:val="22"/>
          <w:szCs w:val="22"/>
        </w:rPr>
        <w:t>Graph 3</w:t>
      </w:r>
      <w:r w:rsidR="00E05B2F">
        <w:rPr>
          <w:rFonts w:asciiTheme="majorHAnsi" w:hAnsiTheme="majorHAnsi"/>
          <w:i/>
          <w:sz w:val="22"/>
          <w:szCs w:val="22"/>
        </w:rPr>
        <w:t xml:space="preserve">:  Domestic Violence and Child Safeguarding </w:t>
      </w:r>
      <w:r w:rsidR="00E05B2F" w:rsidRPr="00A018C0">
        <w:rPr>
          <w:rFonts w:asciiTheme="majorHAnsi" w:hAnsiTheme="majorHAnsi"/>
          <w:i/>
          <w:sz w:val="22"/>
          <w:szCs w:val="22"/>
        </w:rPr>
        <w:t>Referrals, 2015-2017</w:t>
      </w:r>
    </w:p>
    <w:p w14:paraId="69C36C09" w14:textId="77777777" w:rsidR="00E05B2F" w:rsidRPr="00683A09" w:rsidRDefault="00E05B2F" w:rsidP="00E05B2F">
      <w:pPr>
        <w:jc w:val="both"/>
        <w:rPr>
          <w:rFonts w:asciiTheme="majorHAnsi" w:hAnsiTheme="majorHAnsi"/>
        </w:rPr>
      </w:pPr>
    </w:p>
    <w:p w14:paraId="091496F9" w14:textId="77777777" w:rsidR="00E05B2F" w:rsidRPr="00683A09" w:rsidRDefault="00E05B2F" w:rsidP="00E05B2F">
      <w:pPr>
        <w:jc w:val="both"/>
        <w:rPr>
          <w:rFonts w:asciiTheme="majorHAnsi" w:hAnsiTheme="majorHAnsi"/>
        </w:rPr>
      </w:pPr>
      <w:r w:rsidRPr="00683A09">
        <w:rPr>
          <w:rFonts w:asciiTheme="majorHAnsi" w:hAnsiTheme="majorHAnsi"/>
          <w:noProof/>
          <w:lang w:val="en-GB" w:eastAsia="en-GB"/>
        </w:rPr>
        <w:drawing>
          <wp:inline distT="0" distB="0" distL="0" distR="0" wp14:anchorId="291F83B1" wp14:editId="390BF318">
            <wp:extent cx="5486400" cy="2658649"/>
            <wp:effectExtent l="0" t="0" r="25400" b="342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F0920A" w14:textId="77777777" w:rsidR="00E05B2F" w:rsidRPr="00A018C0" w:rsidRDefault="00E05B2F" w:rsidP="00E05B2F">
      <w:pPr>
        <w:jc w:val="both"/>
        <w:rPr>
          <w:rFonts w:asciiTheme="majorHAnsi" w:hAnsiTheme="majorHAnsi"/>
          <w:sz w:val="20"/>
          <w:szCs w:val="20"/>
        </w:rPr>
      </w:pPr>
      <w:r w:rsidRPr="00A018C0">
        <w:rPr>
          <w:rFonts w:asciiTheme="majorHAnsi" w:hAnsiTheme="majorHAnsi"/>
          <w:i/>
          <w:color w:val="FF430C"/>
          <w:sz w:val="20"/>
          <w:szCs w:val="20"/>
        </w:rPr>
        <w:t xml:space="preserve">Red </w:t>
      </w:r>
      <w:r w:rsidRPr="00A018C0">
        <w:rPr>
          <w:rFonts w:asciiTheme="majorHAnsi" w:hAnsiTheme="majorHAnsi"/>
          <w:i/>
          <w:sz w:val="20"/>
          <w:szCs w:val="20"/>
        </w:rPr>
        <w:t xml:space="preserve">indicates domestic violence referrals, while </w:t>
      </w:r>
      <w:r w:rsidRPr="00A018C0">
        <w:rPr>
          <w:rFonts w:asciiTheme="majorHAnsi" w:hAnsiTheme="majorHAnsi"/>
          <w:i/>
          <w:color w:val="3E2066"/>
          <w:sz w:val="20"/>
          <w:szCs w:val="20"/>
        </w:rPr>
        <w:t>purple</w:t>
      </w:r>
      <w:r w:rsidRPr="00A018C0">
        <w:rPr>
          <w:rFonts w:asciiTheme="majorHAnsi" w:hAnsiTheme="majorHAnsi"/>
          <w:i/>
          <w:sz w:val="20"/>
          <w:szCs w:val="20"/>
        </w:rPr>
        <w:t xml:space="preserve"> indicates juvenile safeguarding referrals</w:t>
      </w:r>
      <w:r w:rsidRPr="00A018C0">
        <w:rPr>
          <w:rFonts w:asciiTheme="majorHAnsi" w:hAnsiTheme="majorHAnsi"/>
          <w:sz w:val="20"/>
          <w:szCs w:val="20"/>
        </w:rPr>
        <w:t>.</w:t>
      </w:r>
    </w:p>
    <w:p w14:paraId="0A4541A4" w14:textId="77777777" w:rsidR="00E05B2F" w:rsidRDefault="00E05B2F" w:rsidP="00111910">
      <w:pPr>
        <w:spacing w:after="200" w:line="276" w:lineRule="auto"/>
        <w:jc w:val="both"/>
        <w:rPr>
          <w:rFonts w:asciiTheme="majorHAnsi" w:hAnsiTheme="majorHAnsi"/>
          <w:i/>
        </w:rPr>
      </w:pPr>
    </w:p>
    <w:p w14:paraId="4706E166" w14:textId="433926A8" w:rsidR="00AC16B8" w:rsidRPr="00111910" w:rsidRDefault="00A62E0C" w:rsidP="00111910">
      <w:pPr>
        <w:spacing w:after="200" w:line="276" w:lineRule="auto"/>
        <w:jc w:val="both"/>
        <w:rPr>
          <w:rFonts w:asciiTheme="majorHAnsi" w:hAnsiTheme="majorHAnsi"/>
        </w:rPr>
      </w:pPr>
      <w:r>
        <w:rPr>
          <w:rFonts w:asciiTheme="majorHAnsi" w:hAnsiTheme="majorHAnsi"/>
          <w:i/>
        </w:rPr>
        <w:t>Graph 3</w:t>
      </w:r>
      <w:r w:rsidR="009B1DBD" w:rsidRPr="00683A09">
        <w:rPr>
          <w:rFonts w:asciiTheme="majorHAnsi" w:hAnsiTheme="majorHAnsi"/>
        </w:rPr>
        <w:t xml:space="preserve"> indicates a sharp increase in the number of referrals sent to the Family Support Unit in both categories during 2017, but moreover, a steady increase in domestic and </w:t>
      </w:r>
      <w:r w:rsidR="00E05B2F">
        <w:rPr>
          <w:rFonts w:asciiTheme="majorHAnsi" w:hAnsiTheme="majorHAnsi"/>
        </w:rPr>
        <w:t>child protection</w:t>
      </w:r>
      <w:r w:rsidR="009B1DBD" w:rsidRPr="00683A09">
        <w:rPr>
          <w:rFonts w:asciiTheme="majorHAnsi" w:hAnsiTheme="majorHAnsi"/>
        </w:rPr>
        <w:t xml:space="preserve"> referrals over the last three years.</w:t>
      </w:r>
      <w:r w:rsidR="004E3356" w:rsidRPr="00683A09">
        <w:rPr>
          <w:rFonts w:asciiTheme="majorHAnsi" w:hAnsiTheme="majorHAnsi"/>
        </w:rPr>
        <w:t xml:space="preserve"> </w:t>
      </w:r>
    </w:p>
    <w:p w14:paraId="17BFE916" w14:textId="3836873C" w:rsidR="00AC16B8" w:rsidRPr="00683A09" w:rsidRDefault="004E3356" w:rsidP="00BE7127">
      <w:pPr>
        <w:spacing w:after="200" w:line="276" w:lineRule="auto"/>
        <w:jc w:val="both"/>
        <w:rPr>
          <w:rFonts w:asciiTheme="majorHAnsi" w:hAnsiTheme="majorHAnsi"/>
        </w:rPr>
      </w:pPr>
      <w:r w:rsidRPr="00683A09">
        <w:rPr>
          <w:rFonts w:asciiTheme="majorHAnsi" w:hAnsiTheme="majorHAnsi"/>
        </w:rPr>
        <w:t>In 2017, 990 d</w:t>
      </w:r>
      <w:r w:rsidR="00AC16B8" w:rsidRPr="00683A09">
        <w:rPr>
          <w:rFonts w:asciiTheme="majorHAnsi" w:hAnsiTheme="majorHAnsi"/>
        </w:rPr>
        <w:t xml:space="preserve">omestic </w:t>
      </w:r>
      <w:r w:rsidRPr="00683A09">
        <w:rPr>
          <w:rFonts w:asciiTheme="majorHAnsi" w:hAnsiTheme="majorHAnsi"/>
        </w:rPr>
        <w:t xml:space="preserve">violence </w:t>
      </w:r>
      <w:r w:rsidR="00AC16B8" w:rsidRPr="00683A09">
        <w:rPr>
          <w:rFonts w:asciiTheme="majorHAnsi" w:hAnsiTheme="majorHAnsi"/>
        </w:rPr>
        <w:t>referrals were received and p</w:t>
      </w:r>
      <w:r w:rsidR="001B4558" w:rsidRPr="00683A09">
        <w:rPr>
          <w:rFonts w:asciiTheme="majorHAnsi" w:hAnsiTheme="majorHAnsi"/>
        </w:rPr>
        <w:t>rocessed</w:t>
      </w:r>
      <w:r w:rsidRPr="00683A09">
        <w:rPr>
          <w:rFonts w:asciiTheme="majorHAnsi" w:hAnsiTheme="majorHAnsi"/>
        </w:rPr>
        <w:t>,</w:t>
      </w:r>
      <w:r w:rsidR="001B4558" w:rsidRPr="00683A09">
        <w:rPr>
          <w:rFonts w:asciiTheme="majorHAnsi" w:hAnsiTheme="majorHAnsi"/>
        </w:rPr>
        <w:t xml:space="preserve"> </w:t>
      </w:r>
      <w:r w:rsidRPr="00683A09">
        <w:rPr>
          <w:rFonts w:asciiTheme="majorHAnsi" w:hAnsiTheme="majorHAnsi"/>
        </w:rPr>
        <w:t xml:space="preserve">which was </w:t>
      </w:r>
      <w:r w:rsidR="001B4558" w:rsidRPr="00683A09">
        <w:rPr>
          <w:rFonts w:asciiTheme="majorHAnsi" w:hAnsiTheme="majorHAnsi"/>
        </w:rPr>
        <w:t xml:space="preserve">an increase of 33% </w:t>
      </w:r>
      <w:r w:rsidR="00682BD4" w:rsidRPr="00683A09">
        <w:rPr>
          <w:rFonts w:asciiTheme="majorHAnsi" w:hAnsiTheme="majorHAnsi"/>
        </w:rPr>
        <w:t>over 2016.</w:t>
      </w:r>
      <w:r w:rsidRPr="00683A09">
        <w:rPr>
          <w:rFonts w:asciiTheme="majorHAnsi" w:hAnsiTheme="majorHAnsi"/>
        </w:rPr>
        <w:t xml:space="preserve"> Likewise, 491 </w:t>
      </w:r>
      <w:r w:rsidR="00E05B2F">
        <w:rPr>
          <w:rFonts w:asciiTheme="majorHAnsi" w:hAnsiTheme="majorHAnsi"/>
        </w:rPr>
        <w:t>child safeguarding</w:t>
      </w:r>
      <w:r w:rsidR="00AC16B8" w:rsidRPr="00683A09">
        <w:rPr>
          <w:rFonts w:asciiTheme="majorHAnsi" w:hAnsiTheme="majorHAnsi"/>
        </w:rPr>
        <w:t xml:space="preserve"> referrals </w:t>
      </w:r>
      <w:r w:rsidRPr="00683A09">
        <w:rPr>
          <w:rFonts w:asciiTheme="majorHAnsi" w:hAnsiTheme="majorHAnsi"/>
        </w:rPr>
        <w:t xml:space="preserve">were </w:t>
      </w:r>
      <w:r w:rsidR="00AC16B8" w:rsidRPr="00683A09">
        <w:rPr>
          <w:rFonts w:asciiTheme="majorHAnsi" w:hAnsiTheme="majorHAnsi"/>
        </w:rPr>
        <w:t>received and processed</w:t>
      </w:r>
      <w:r w:rsidRPr="00683A09">
        <w:rPr>
          <w:rFonts w:asciiTheme="majorHAnsi" w:hAnsiTheme="majorHAnsi"/>
        </w:rPr>
        <w:t>,</w:t>
      </w:r>
      <w:r w:rsidR="00AC16B8" w:rsidRPr="00683A09">
        <w:rPr>
          <w:rFonts w:asciiTheme="majorHAnsi" w:hAnsiTheme="majorHAnsi"/>
        </w:rPr>
        <w:t xml:space="preserve"> </w:t>
      </w:r>
      <w:r w:rsidRPr="00683A09">
        <w:rPr>
          <w:rFonts w:asciiTheme="majorHAnsi" w:hAnsiTheme="majorHAnsi"/>
        </w:rPr>
        <w:t xml:space="preserve">which was </w:t>
      </w:r>
      <w:r w:rsidR="00AC16B8" w:rsidRPr="00683A09">
        <w:rPr>
          <w:rFonts w:asciiTheme="majorHAnsi" w:hAnsiTheme="majorHAnsi"/>
        </w:rPr>
        <w:t>an</w:t>
      </w:r>
      <w:r w:rsidRPr="00683A09">
        <w:rPr>
          <w:rFonts w:asciiTheme="majorHAnsi" w:hAnsiTheme="majorHAnsi"/>
        </w:rPr>
        <w:t xml:space="preserve"> even more dramatic</w:t>
      </w:r>
      <w:r w:rsidR="00AC16B8" w:rsidRPr="00683A09">
        <w:rPr>
          <w:rFonts w:asciiTheme="majorHAnsi" w:hAnsiTheme="majorHAnsi"/>
        </w:rPr>
        <w:t xml:space="preserve"> increase of 80% </w:t>
      </w:r>
      <w:r w:rsidRPr="00683A09">
        <w:rPr>
          <w:rFonts w:asciiTheme="majorHAnsi" w:hAnsiTheme="majorHAnsi"/>
        </w:rPr>
        <w:t>over</w:t>
      </w:r>
      <w:r w:rsidR="00AC16B8" w:rsidRPr="00683A09">
        <w:rPr>
          <w:rFonts w:asciiTheme="majorHAnsi" w:hAnsiTheme="majorHAnsi"/>
        </w:rPr>
        <w:t xml:space="preserve"> 2016. </w:t>
      </w:r>
    </w:p>
    <w:p w14:paraId="3123E050" w14:textId="2C783C4D" w:rsidR="00BE7127" w:rsidRPr="00683A09" w:rsidRDefault="004E3356" w:rsidP="00BE7127">
      <w:pPr>
        <w:spacing w:after="200" w:line="276" w:lineRule="auto"/>
        <w:jc w:val="both"/>
        <w:rPr>
          <w:rFonts w:asciiTheme="majorHAnsi" w:hAnsiTheme="majorHAnsi"/>
        </w:rPr>
      </w:pPr>
      <w:r w:rsidRPr="00683A09">
        <w:rPr>
          <w:rFonts w:asciiTheme="majorHAnsi" w:hAnsiTheme="majorHAnsi"/>
        </w:rPr>
        <w:t xml:space="preserve">The establishment of the </w:t>
      </w:r>
      <w:r w:rsidR="007735B1">
        <w:rPr>
          <w:rFonts w:asciiTheme="majorHAnsi" w:hAnsiTheme="majorHAnsi"/>
        </w:rPr>
        <w:t>MASH</w:t>
      </w:r>
      <w:r w:rsidRPr="00683A09">
        <w:rPr>
          <w:rFonts w:asciiTheme="majorHAnsi" w:hAnsiTheme="majorHAnsi"/>
        </w:rPr>
        <w:t xml:space="preserve"> in new offices at Anderson Square in March 2017 may account for some of the increase in </w:t>
      </w:r>
      <w:r w:rsidR="00784724">
        <w:rPr>
          <w:rFonts w:asciiTheme="majorHAnsi" w:hAnsiTheme="majorHAnsi"/>
        </w:rPr>
        <w:t xml:space="preserve">domestic and </w:t>
      </w:r>
      <w:r w:rsidRPr="00683A09">
        <w:rPr>
          <w:rFonts w:asciiTheme="majorHAnsi" w:hAnsiTheme="majorHAnsi"/>
        </w:rPr>
        <w:t>safeguarding referrals, as this launch was covered broadly i</w:t>
      </w:r>
      <w:r w:rsidR="00682BD4" w:rsidRPr="00683A09">
        <w:rPr>
          <w:rFonts w:asciiTheme="majorHAnsi" w:hAnsiTheme="majorHAnsi"/>
        </w:rPr>
        <w:t>n the local media.</w:t>
      </w:r>
      <w:r w:rsidRPr="00683A09">
        <w:rPr>
          <w:rFonts w:asciiTheme="majorHAnsi" w:hAnsiTheme="majorHAnsi"/>
        </w:rPr>
        <w:t xml:space="preserve">  </w:t>
      </w:r>
      <w:r w:rsidR="00BE7127" w:rsidRPr="00683A09">
        <w:rPr>
          <w:rFonts w:asciiTheme="majorHAnsi" w:hAnsiTheme="majorHAnsi"/>
        </w:rPr>
        <w:t>The subsequent success of Child Safeguarding Investigation Unit (CSIU) detectives in court on several high profile matters may also have persuaded some victims</w:t>
      </w:r>
      <w:r w:rsidR="00682BD4" w:rsidRPr="00683A09">
        <w:rPr>
          <w:rFonts w:asciiTheme="majorHAnsi" w:hAnsiTheme="majorHAnsi"/>
        </w:rPr>
        <w:t xml:space="preserve"> of violence and abuse, especially historic abuse, </w:t>
      </w:r>
      <w:r w:rsidR="00BE7127" w:rsidRPr="00683A09">
        <w:rPr>
          <w:rFonts w:asciiTheme="majorHAnsi" w:hAnsiTheme="majorHAnsi"/>
        </w:rPr>
        <w:t>to</w:t>
      </w:r>
      <w:r w:rsidR="00682BD4" w:rsidRPr="00683A09">
        <w:rPr>
          <w:rFonts w:asciiTheme="majorHAnsi" w:hAnsiTheme="majorHAnsi"/>
        </w:rPr>
        <w:t xml:space="preserve"> come forward and make a report. </w:t>
      </w:r>
      <w:r w:rsidR="00BE7127" w:rsidRPr="00683A09">
        <w:rPr>
          <w:rFonts w:asciiTheme="majorHAnsi" w:hAnsiTheme="majorHAnsi"/>
        </w:rPr>
        <w:t xml:space="preserve"> Detectives are confident that the increase in safeguarding referrals in 2017 does not represent a spike in the incidence of such crimes</w:t>
      </w:r>
      <w:r w:rsidR="00784724">
        <w:rPr>
          <w:rFonts w:asciiTheme="majorHAnsi" w:hAnsiTheme="majorHAnsi"/>
        </w:rPr>
        <w:t xml:space="preserve"> </w:t>
      </w:r>
      <w:r w:rsidR="007735B1">
        <w:rPr>
          <w:rFonts w:asciiTheme="majorHAnsi" w:hAnsiTheme="majorHAnsi"/>
        </w:rPr>
        <w:t>over this</w:t>
      </w:r>
      <w:r w:rsidR="00784724">
        <w:rPr>
          <w:rFonts w:asciiTheme="majorHAnsi" w:hAnsiTheme="majorHAnsi"/>
        </w:rPr>
        <w:t xml:space="preserve"> </w:t>
      </w:r>
      <w:r w:rsidR="00784724">
        <w:rPr>
          <w:rFonts w:asciiTheme="majorHAnsi" w:hAnsiTheme="majorHAnsi"/>
        </w:rPr>
        <w:lastRenderedPageBreak/>
        <w:t>past year, but instead a difference in the reporting behavior of victims</w:t>
      </w:r>
      <w:r w:rsidR="00BE7127" w:rsidRPr="00683A09">
        <w:rPr>
          <w:rFonts w:asciiTheme="majorHAnsi" w:hAnsiTheme="majorHAnsi"/>
        </w:rPr>
        <w:t>.</w:t>
      </w:r>
      <w:r w:rsidR="00784724">
        <w:rPr>
          <w:rFonts w:asciiTheme="majorHAnsi" w:hAnsiTheme="majorHAnsi"/>
        </w:rPr>
        <w:t xml:space="preserve">  It is also important to note that some of the referral numbers may be linked to incidents that did not take place in the reporting year.</w:t>
      </w:r>
    </w:p>
    <w:p w14:paraId="0B0FC393" w14:textId="01B2F9E5" w:rsidR="00C42FCA" w:rsidRPr="00B55D04" w:rsidRDefault="00682BD4" w:rsidP="00B55D04">
      <w:pPr>
        <w:spacing w:after="200" w:line="276" w:lineRule="auto"/>
        <w:jc w:val="both"/>
        <w:rPr>
          <w:rFonts w:asciiTheme="majorHAnsi" w:hAnsiTheme="majorHAnsi"/>
        </w:rPr>
      </w:pPr>
      <w:r w:rsidRPr="00683A09">
        <w:rPr>
          <w:rFonts w:asciiTheme="majorHAnsi" w:hAnsiTheme="majorHAnsi"/>
        </w:rPr>
        <w:t xml:space="preserve">Since the inception of the MASH, </w:t>
      </w:r>
      <w:r w:rsidR="00250BDB" w:rsidRPr="00683A09">
        <w:rPr>
          <w:rFonts w:asciiTheme="majorHAnsi" w:hAnsiTheme="majorHAnsi"/>
        </w:rPr>
        <w:t xml:space="preserve">detectives </w:t>
      </w:r>
      <w:r w:rsidRPr="00683A09">
        <w:rPr>
          <w:rFonts w:asciiTheme="majorHAnsi" w:hAnsiTheme="majorHAnsi"/>
        </w:rPr>
        <w:t xml:space="preserve">and DCFS social workers have been working hard to build </w:t>
      </w:r>
      <w:r w:rsidR="00BE7127" w:rsidRPr="00683A09">
        <w:rPr>
          <w:rFonts w:asciiTheme="majorHAnsi" w:hAnsiTheme="majorHAnsi"/>
        </w:rPr>
        <w:t>this trust with th</w:t>
      </w:r>
      <w:r w:rsidR="00250BDB" w:rsidRPr="00683A09">
        <w:rPr>
          <w:rFonts w:asciiTheme="majorHAnsi" w:hAnsiTheme="majorHAnsi"/>
        </w:rPr>
        <w:t>e community and raise awareness;</w:t>
      </w:r>
      <w:r w:rsidR="00BE7127" w:rsidRPr="00683A09">
        <w:rPr>
          <w:rFonts w:asciiTheme="majorHAnsi" w:hAnsiTheme="majorHAnsi"/>
        </w:rPr>
        <w:t xml:space="preserve"> </w:t>
      </w:r>
      <w:r w:rsidR="00250BDB" w:rsidRPr="00683A09">
        <w:rPr>
          <w:rFonts w:asciiTheme="majorHAnsi" w:hAnsiTheme="majorHAnsi"/>
        </w:rPr>
        <w:t>they have made a</w:t>
      </w:r>
      <w:r w:rsidR="00BE7127" w:rsidRPr="00683A09">
        <w:rPr>
          <w:rFonts w:asciiTheme="majorHAnsi" w:hAnsiTheme="majorHAnsi"/>
        </w:rPr>
        <w:t>ppearances in</w:t>
      </w:r>
      <w:r w:rsidRPr="00683A09">
        <w:rPr>
          <w:rFonts w:asciiTheme="majorHAnsi" w:hAnsiTheme="majorHAnsi"/>
        </w:rPr>
        <w:t xml:space="preserve"> local media</w:t>
      </w:r>
      <w:r w:rsidR="00BE7127" w:rsidRPr="00683A09">
        <w:rPr>
          <w:rFonts w:asciiTheme="majorHAnsi" w:hAnsiTheme="majorHAnsi"/>
        </w:rPr>
        <w:t xml:space="preserve"> and </w:t>
      </w:r>
      <w:r w:rsidR="00250BDB" w:rsidRPr="00683A09">
        <w:rPr>
          <w:rFonts w:asciiTheme="majorHAnsi" w:hAnsiTheme="majorHAnsi"/>
        </w:rPr>
        <w:t xml:space="preserve">participated in awareness-raising </w:t>
      </w:r>
      <w:r w:rsidR="00BE7127" w:rsidRPr="00683A09">
        <w:rPr>
          <w:rFonts w:asciiTheme="majorHAnsi" w:hAnsiTheme="majorHAnsi"/>
        </w:rPr>
        <w:t>events with agency and nonprofit partners</w:t>
      </w:r>
      <w:r w:rsidR="00250BDB" w:rsidRPr="00683A09">
        <w:rPr>
          <w:rFonts w:asciiTheme="majorHAnsi" w:hAnsiTheme="majorHAnsi"/>
        </w:rPr>
        <w:t xml:space="preserve">.  It is anticipated </w:t>
      </w:r>
      <w:r w:rsidR="00784724">
        <w:rPr>
          <w:rFonts w:asciiTheme="majorHAnsi" w:hAnsiTheme="majorHAnsi"/>
        </w:rPr>
        <w:t>that</w:t>
      </w:r>
      <w:r w:rsidR="00250BDB" w:rsidRPr="00683A09">
        <w:rPr>
          <w:rFonts w:asciiTheme="majorHAnsi" w:hAnsiTheme="majorHAnsi"/>
        </w:rPr>
        <w:t xml:space="preserve"> the number of referrals </w:t>
      </w:r>
      <w:r w:rsidR="00784724">
        <w:rPr>
          <w:rFonts w:asciiTheme="majorHAnsi" w:hAnsiTheme="majorHAnsi"/>
        </w:rPr>
        <w:t>may</w:t>
      </w:r>
      <w:r w:rsidR="00250BDB" w:rsidRPr="00683A09">
        <w:rPr>
          <w:rFonts w:asciiTheme="majorHAnsi" w:hAnsiTheme="majorHAnsi"/>
        </w:rPr>
        <w:t xml:space="preserve"> grow as the reputation of the MASH builds in the community.</w:t>
      </w:r>
    </w:p>
    <w:p w14:paraId="65742056" w14:textId="77777777" w:rsidR="00601B2D" w:rsidRDefault="00601B2D" w:rsidP="00267A5C">
      <w:pPr>
        <w:pStyle w:val="Content"/>
        <w:framePr w:hSpace="0" w:wrap="auto" w:vAnchor="margin" w:hAnchor="text" w:yAlign="inline"/>
        <w:rPr>
          <w:rFonts w:asciiTheme="majorHAnsi" w:eastAsiaTheme="minorHAnsi" w:hAnsiTheme="majorHAnsi"/>
          <w:b/>
          <w:color w:val="auto"/>
          <w:sz w:val="24"/>
          <w:szCs w:val="24"/>
        </w:rPr>
      </w:pPr>
    </w:p>
    <w:p w14:paraId="5B508249" w14:textId="22F13C91" w:rsidR="00267A5C" w:rsidRPr="00683A09" w:rsidRDefault="00F3608B" w:rsidP="00267A5C">
      <w:pPr>
        <w:pStyle w:val="Content"/>
        <w:framePr w:hSpace="0" w:wrap="auto" w:vAnchor="margin" w:hAnchor="text" w:yAlign="inline"/>
        <w:rPr>
          <w:rFonts w:asciiTheme="majorHAnsi" w:eastAsiaTheme="minorHAnsi" w:hAnsiTheme="majorHAnsi"/>
          <w:b/>
          <w:color w:val="auto"/>
          <w:sz w:val="24"/>
          <w:szCs w:val="24"/>
        </w:rPr>
      </w:pPr>
      <w:r w:rsidRPr="00683A09">
        <w:rPr>
          <w:rFonts w:asciiTheme="majorHAnsi" w:eastAsiaTheme="minorHAnsi" w:hAnsiTheme="majorHAnsi"/>
          <w:b/>
          <w:color w:val="auto"/>
          <w:sz w:val="24"/>
          <w:szCs w:val="24"/>
        </w:rPr>
        <w:t>10</w:t>
      </w:r>
      <w:r w:rsidR="00267A5C" w:rsidRPr="00683A09">
        <w:rPr>
          <w:rFonts w:asciiTheme="majorHAnsi" w:eastAsiaTheme="minorHAnsi" w:hAnsiTheme="majorHAnsi"/>
          <w:b/>
          <w:color w:val="auto"/>
          <w:sz w:val="24"/>
          <w:szCs w:val="24"/>
        </w:rPr>
        <w:t>. Cyber Crimes and Incidents</w:t>
      </w:r>
    </w:p>
    <w:p w14:paraId="49DB0F7D" w14:textId="77777777" w:rsidR="00267A5C" w:rsidRPr="00683A09" w:rsidRDefault="00267A5C" w:rsidP="00267A5C">
      <w:pPr>
        <w:pStyle w:val="Content"/>
        <w:framePr w:hSpace="0" w:wrap="auto" w:vAnchor="margin" w:hAnchor="text" w:yAlign="inline"/>
        <w:rPr>
          <w:rFonts w:asciiTheme="majorHAnsi" w:eastAsiaTheme="minorHAnsi" w:hAnsiTheme="majorHAnsi"/>
          <w:b/>
          <w:color w:val="auto"/>
          <w:sz w:val="24"/>
          <w:szCs w:val="24"/>
        </w:rPr>
      </w:pPr>
    </w:p>
    <w:p w14:paraId="1EFBA048" w14:textId="4AEEF611" w:rsidR="00267A5C" w:rsidRPr="00683A09" w:rsidRDefault="00267A5C" w:rsidP="00267A5C">
      <w:pPr>
        <w:pStyle w:val="Content"/>
        <w:framePr w:hSpace="0" w:wrap="auto" w:vAnchor="margin" w:hAnchor="text" w:yAlign="inline"/>
        <w:jc w:val="both"/>
        <w:rPr>
          <w:rFonts w:asciiTheme="majorHAnsi" w:hAnsiTheme="majorHAnsi"/>
          <w:sz w:val="24"/>
          <w:szCs w:val="24"/>
        </w:rPr>
      </w:pPr>
      <w:r w:rsidRPr="00683A09">
        <w:rPr>
          <w:rFonts w:asciiTheme="majorHAnsi" w:hAnsiTheme="majorHAnsi"/>
          <w:sz w:val="24"/>
          <w:szCs w:val="24"/>
        </w:rPr>
        <w:t>The RCIPS Cyber Unit has been monitoring</w:t>
      </w:r>
      <w:r w:rsidR="006B6389" w:rsidRPr="00683A09">
        <w:rPr>
          <w:rFonts w:asciiTheme="majorHAnsi" w:hAnsiTheme="majorHAnsi"/>
          <w:sz w:val="24"/>
          <w:szCs w:val="24"/>
        </w:rPr>
        <w:t xml:space="preserve"> cyber </w:t>
      </w:r>
      <w:r w:rsidRPr="00683A09">
        <w:rPr>
          <w:rFonts w:asciiTheme="majorHAnsi" w:hAnsiTheme="majorHAnsi"/>
          <w:sz w:val="24"/>
          <w:szCs w:val="24"/>
        </w:rPr>
        <w:t xml:space="preserve">crime incidents in the Cayman Islands since 2010. </w:t>
      </w:r>
      <w:r w:rsidR="00601468">
        <w:rPr>
          <w:rFonts w:asciiTheme="majorHAnsi" w:hAnsiTheme="majorHAnsi"/>
          <w:sz w:val="24"/>
          <w:szCs w:val="24"/>
        </w:rPr>
        <w:t>While t</w:t>
      </w:r>
      <w:r w:rsidRPr="00683A09">
        <w:rPr>
          <w:rFonts w:asciiTheme="majorHAnsi" w:hAnsiTheme="majorHAnsi"/>
          <w:sz w:val="24"/>
          <w:szCs w:val="24"/>
        </w:rPr>
        <w:t xml:space="preserve">he Unit </w:t>
      </w:r>
      <w:r w:rsidR="00601468">
        <w:rPr>
          <w:rFonts w:asciiTheme="majorHAnsi" w:hAnsiTheme="majorHAnsi"/>
          <w:sz w:val="24"/>
          <w:szCs w:val="24"/>
        </w:rPr>
        <w:t xml:space="preserve">is limited in its ability to investigate cyber-dependent and cyber-enabled crime at this time, its capacity </w:t>
      </w:r>
      <w:r w:rsidR="005221EF">
        <w:rPr>
          <w:rFonts w:asciiTheme="majorHAnsi" w:hAnsiTheme="majorHAnsi"/>
          <w:sz w:val="24"/>
          <w:szCs w:val="24"/>
        </w:rPr>
        <w:t>is increasing, with the goal of incorporating</w:t>
      </w:r>
      <w:r w:rsidRPr="00683A09">
        <w:rPr>
          <w:rFonts w:asciiTheme="majorHAnsi" w:hAnsiTheme="majorHAnsi"/>
          <w:sz w:val="24"/>
          <w:szCs w:val="24"/>
        </w:rPr>
        <w:t xml:space="preserve"> digital forensics, cyber incident response and cyber</w:t>
      </w:r>
      <w:r w:rsidR="006B6389" w:rsidRPr="00683A09">
        <w:rPr>
          <w:rFonts w:asciiTheme="majorHAnsi" w:hAnsiTheme="majorHAnsi"/>
          <w:sz w:val="24"/>
          <w:szCs w:val="24"/>
        </w:rPr>
        <w:t xml:space="preserve"> </w:t>
      </w:r>
      <w:r w:rsidRPr="00683A09">
        <w:rPr>
          <w:rFonts w:asciiTheme="majorHAnsi" w:hAnsiTheme="majorHAnsi"/>
          <w:sz w:val="24"/>
          <w:szCs w:val="24"/>
        </w:rPr>
        <w:t>crime analysis and investigation services to support all law enforcement agencies and CI Government departments in comba</w:t>
      </w:r>
      <w:r w:rsidR="006B6389" w:rsidRPr="00683A09">
        <w:rPr>
          <w:rFonts w:asciiTheme="majorHAnsi" w:hAnsiTheme="majorHAnsi"/>
          <w:sz w:val="24"/>
          <w:szCs w:val="24"/>
        </w:rPr>
        <w:t>t</w:t>
      </w:r>
      <w:r w:rsidRPr="00683A09">
        <w:rPr>
          <w:rFonts w:asciiTheme="majorHAnsi" w:hAnsiTheme="majorHAnsi"/>
          <w:sz w:val="24"/>
          <w:szCs w:val="24"/>
        </w:rPr>
        <w:t xml:space="preserve">ting </w:t>
      </w:r>
      <w:r w:rsidR="006B6389" w:rsidRPr="00683A09">
        <w:rPr>
          <w:rFonts w:asciiTheme="majorHAnsi" w:hAnsiTheme="majorHAnsi"/>
          <w:sz w:val="24"/>
          <w:szCs w:val="24"/>
        </w:rPr>
        <w:t xml:space="preserve">both “traditional” crime and cyber </w:t>
      </w:r>
      <w:r w:rsidRPr="00683A09">
        <w:rPr>
          <w:rFonts w:asciiTheme="majorHAnsi" w:hAnsiTheme="majorHAnsi"/>
          <w:sz w:val="24"/>
          <w:szCs w:val="24"/>
        </w:rPr>
        <w:t>crime.</w:t>
      </w:r>
    </w:p>
    <w:p w14:paraId="0D8B9341" w14:textId="77777777" w:rsidR="00267A5C" w:rsidRPr="00683A09" w:rsidRDefault="00267A5C" w:rsidP="00267A5C">
      <w:pPr>
        <w:pStyle w:val="Content"/>
        <w:framePr w:hSpace="0" w:wrap="auto" w:vAnchor="margin" w:hAnchor="text" w:yAlign="inline"/>
        <w:jc w:val="both"/>
        <w:rPr>
          <w:rFonts w:asciiTheme="majorHAnsi" w:hAnsiTheme="majorHAnsi"/>
          <w:sz w:val="24"/>
          <w:szCs w:val="24"/>
        </w:rPr>
      </w:pPr>
    </w:p>
    <w:p w14:paraId="3640A187" w14:textId="0ED1E4BF" w:rsidR="00267A5C" w:rsidRPr="00683A09" w:rsidRDefault="00267A5C" w:rsidP="00267A5C">
      <w:pPr>
        <w:pStyle w:val="Content"/>
        <w:framePr w:hSpace="0" w:wrap="auto" w:vAnchor="margin" w:hAnchor="text" w:yAlign="inline"/>
        <w:jc w:val="both"/>
        <w:rPr>
          <w:rFonts w:asciiTheme="majorHAnsi" w:hAnsiTheme="majorHAnsi"/>
          <w:sz w:val="24"/>
          <w:szCs w:val="24"/>
        </w:rPr>
      </w:pPr>
      <w:r w:rsidRPr="00683A09">
        <w:rPr>
          <w:rFonts w:asciiTheme="majorHAnsi" w:hAnsiTheme="majorHAnsi"/>
          <w:sz w:val="24"/>
          <w:szCs w:val="24"/>
        </w:rPr>
        <w:t>In 2010, cyber-</w:t>
      </w:r>
      <w:r w:rsidR="006B6389" w:rsidRPr="00683A09">
        <w:rPr>
          <w:rFonts w:asciiTheme="majorHAnsi" w:hAnsiTheme="majorHAnsi"/>
          <w:sz w:val="24"/>
          <w:szCs w:val="24"/>
        </w:rPr>
        <w:t>crime incidents were extremely rare</w:t>
      </w:r>
      <w:r w:rsidRPr="00683A09">
        <w:rPr>
          <w:rFonts w:asciiTheme="majorHAnsi" w:hAnsiTheme="majorHAnsi"/>
          <w:sz w:val="24"/>
          <w:szCs w:val="24"/>
        </w:rPr>
        <w:t xml:space="preserve"> to non-existent. </w:t>
      </w:r>
      <w:r w:rsidR="006B6389" w:rsidRPr="00683A09">
        <w:rPr>
          <w:rFonts w:asciiTheme="majorHAnsi" w:hAnsiTheme="majorHAnsi"/>
          <w:sz w:val="24"/>
          <w:szCs w:val="24"/>
        </w:rPr>
        <w:t>Cyber crime reports started to spike</w:t>
      </w:r>
      <w:r w:rsidRPr="00683A09">
        <w:rPr>
          <w:rFonts w:asciiTheme="majorHAnsi" w:hAnsiTheme="majorHAnsi"/>
          <w:sz w:val="24"/>
          <w:szCs w:val="24"/>
        </w:rPr>
        <w:t xml:space="preserve"> in 2014</w:t>
      </w:r>
      <w:r w:rsidR="006B6389" w:rsidRPr="00683A09">
        <w:rPr>
          <w:rFonts w:asciiTheme="majorHAnsi" w:hAnsiTheme="majorHAnsi"/>
          <w:sz w:val="24"/>
          <w:szCs w:val="24"/>
        </w:rPr>
        <w:t>,</w:t>
      </w:r>
      <w:r w:rsidRPr="00683A09">
        <w:rPr>
          <w:rFonts w:asciiTheme="majorHAnsi" w:hAnsiTheme="majorHAnsi"/>
          <w:sz w:val="24"/>
          <w:szCs w:val="24"/>
        </w:rPr>
        <w:t xml:space="preserve"> and have continued to rise </w:t>
      </w:r>
      <w:r w:rsidR="006B6389" w:rsidRPr="00683A09">
        <w:rPr>
          <w:rFonts w:asciiTheme="majorHAnsi" w:hAnsiTheme="majorHAnsi"/>
          <w:sz w:val="24"/>
          <w:szCs w:val="24"/>
        </w:rPr>
        <w:t xml:space="preserve">since that time. Cyber </w:t>
      </w:r>
      <w:r w:rsidRPr="00683A09">
        <w:rPr>
          <w:rFonts w:asciiTheme="majorHAnsi" w:hAnsiTheme="majorHAnsi"/>
          <w:sz w:val="24"/>
          <w:szCs w:val="24"/>
        </w:rPr>
        <w:t xml:space="preserve">crime incidents are not included in the overall crime figures due to their </w:t>
      </w:r>
      <w:r w:rsidR="006B6389" w:rsidRPr="00683A09">
        <w:rPr>
          <w:rFonts w:asciiTheme="majorHAnsi" w:hAnsiTheme="majorHAnsi"/>
          <w:sz w:val="24"/>
          <w:szCs w:val="24"/>
        </w:rPr>
        <w:t xml:space="preserve">variance and </w:t>
      </w:r>
      <w:r w:rsidRPr="00683A09">
        <w:rPr>
          <w:rFonts w:asciiTheme="majorHAnsi" w:hAnsiTheme="majorHAnsi"/>
          <w:sz w:val="24"/>
          <w:szCs w:val="24"/>
        </w:rPr>
        <w:t>complexity.</w:t>
      </w:r>
      <w:r w:rsidR="006B6389" w:rsidRPr="00683A09">
        <w:rPr>
          <w:rFonts w:asciiTheme="majorHAnsi" w:hAnsiTheme="majorHAnsi"/>
          <w:sz w:val="24"/>
          <w:szCs w:val="24"/>
        </w:rPr>
        <w:t xml:space="preserve"> However, the below graphs</w:t>
      </w:r>
      <w:r w:rsidR="00A62E0C">
        <w:rPr>
          <w:rFonts w:asciiTheme="majorHAnsi" w:hAnsiTheme="majorHAnsi"/>
          <w:sz w:val="24"/>
          <w:szCs w:val="24"/>
        </w:rPr>
        <w:t xml:space="preserve"> (Figures 6 &amp; 7</w:t>
      </w:r>
      <w:r w:rsidR="006572D4" w:rsidRPr="00683A09">
        <w:rPr>
          <w:rFonts w:asciiTheme="majorHAnsi" w:hAnsiTheme="majorHAnsi"/>
          <w:sz w:val="24"/>
          <w:szCs w:val="24"/>
        </w:rPr>
        <w:t>)</w:t>
      </w:r>
      <w:r w:rsidR="006B6389" w:rsidRPr="00683A09">
        <w:rPr>
          <w:rFonts w:asciiTheme="majorHAnsi" w:hAnsiTheme="majorHAnsi"/>
          <w:sz w:val="24"/>
          <w:szCs w:val="24"/>
        </w:rPr>
        <w:t xml:space="preserve"> and information are being included in this document in order to begin to illustrate th</w:t>
      </w:r>
      <w:r w:rsidR="006572D4" w:rsidRPr="00683A09">
        <w:rPr>
          <w:rFonts w:asciiTheme="majorHAnsi" w:hAnsiTheme="majorHAnsi"/>
          <w:sz w:val="24"/>
          <w:szCs w:val="24"/>
        </w:rPr>
        <w:t>is area of criminal activity for the benefit of public awareness.</w:t>
      </w:r>
    </w:p>
    <w:p w14:paraId="68819ACC" w14:textId="77777777" w:rsidR="00267A5C" w:rsidRPr="00683A09" w:rsidRDefault="00267A5C" w:rsidP="00E41556">
      <w:pPr>
        <w:pStyle w:val="Content"/>
        <w:framePr w:hSpace="0" w:wrap="auto" w:vAnchor="margin" w:hAnchor="text" w:yAlign="inline"/>
        <w:ind w:left="780"/>
        <w:jc w:val="both"/>
        <w:rPr>
          <w:rFonts w:asciiTheme="majorHAnsi" w:hAnsiTheme="majorHAnsi"/>
          <w:sz w:val="24"/>
          <w:szCs w:val="24"/>
        </w:rPr>
      </w:pPr>
    </w:p>
    <w:p w14:paraId="1B174BE6" w14:textId="10E7A104" w:rsidR="006572D4" w:rsidRPr="00683A09" w:rsidRDefault="00267A5C" w:rsidP="00E41556">
      <w:pPr>
        <w:pStyle w:val="Content"/>
        <w:framePr w:hSpace="0" w:wrap="auto" w:vAnchor="margin" w:hAnchor="text" w:yAlign="inline"/>
        <w:jc w:val="both"/>
        <w:rPr>
          <w:rFonts w:asciiTheme="majorHAnsi" w:hAnsiTheme="majorHAnsi"/>
          <w:sz w:val="24"/>
          <w:szCs w:val="24"/>
        </w:rPr>
      </w:pPr>
      <w:r w:rsidRPr="00683A09">
        <w:rPr>
          <w:rFonts w:asciiTheme="majorHAnsi" w:hAnsiTheme="majorHAnsi"/>
          <w:sz w:val="24"/>
          <w:szCs w:val="24"/>
        </w:rPr>
        <w:t>Business Email Compromise (BEC) was the primary cause for the rise in cyber-crime from 2014 to 2016, along with phishing emails using t</w:t>
      </w:r>
      <w:r w:rsidR="00E41556" w:rsidRPr="00683A09">
        <w:rPr>
          <w:rFonts w:asciiTheme="majorHAnsi" w:hAnsiTheme="majorHAnsi"/>
          <w:sz w:val="24"/>
          <w:szCs w:val="24"/>
        </w:rPr>
        <w:t xml:space="preserve">he brands of local retail banks and being sent to customers and general public. The </w:t>
      </w:r>
      <w:r w:rsidR="00774416">
        <w:rPr>
          <w:rFonts w:asciiTheme="majorHAnsi" w:hAnsiTheme="majorHAnsi"/>
          <w:sz w:val="24"/>
          <w:szCs w:val="24"/>
        </w:rPr>
        <w:t xml:space="preserve">criminal </w:t>
      </w:r>
      <w:r w:rsidR="00E41556" w:rsidRPr="00683A09">
        <w:rPr>
          <w:rFonts w:asciiTheme="majorHAnsi" w:hAnsiTheme="majorHAnsi"/>
          <w:sz w:val="24"/>
          <w:szCs w:val="24"/>
        </w:rPr>
        <w:t xml:space="preserve">objective </w:t>
      </w:r>
      <w:r w:rsidR="00400D4C">
        <w:rPr>
          <w:rFonts w:asciiTheme="majorHAnsi" w:hAnsiTheme="majorHAnsi"/>
          <w:sz w:val="24"/>
          <w:szCs w:val="24"/>
        </w:rPr>
        <w:t>behind</w:t>
      </w:r>
      <w:r w:rsidR="00E41556" w:rsidRPr="00683A09">
        <w:rPr>
          <w:rFonts w:asciiTheme="majorHAnsi" w:hAnsiTheme="majorHAnsi"/>
          <w:sz w:val="24"/>
          <w:szCs w:val="24"/>
        </w:rPr>
        <w:t xml:space="preserve"> these activities was to compromise </w:t>
      </w:r>
      <w:r w:rsidRPr="00683A09">
        <w:rPr>
          <w:rFonts w:asciiTheme="majorHAnsi" w:hAnsiTheme="majorHAnsi"/>
          <w:sz w:val="24"/>
          <w:szCs w:val="24"/>
        </w:rPr>
        <w:t>online banking accounts.</w:t>
      </w:r>
    </w:p>
    <w:p w14:paraId="109D2A50" w14:textId="67C774E5" w:rsidR="00267A5C" w:rsidRPr="00683A09" w:rsidRDefault="00267A5C" w:rsidP="00E41556">
      <w:pPr>
        <w:pStyle w:val="Content"/>
        <w:framePr w:hSpace="0" w:wrap="auto" w:vAnchor="margin" w:hAnchor="text" w:yAlign="inline"/>
        <w:jc w:val="both"/>
        <w:rPr>
          <w:rFonts w:asciiTheme="majorHAnsi" w:eastAsiaTheme="minorHAnsi" w:hAnsiTheme="majorHAnsi"/>
          <w:b/>
          <w:color w:val="auto"/>
          <w:sz w:val="24"/>
          <w:szCs w:val="24"/>
          <w:u w:val="single"/>
          <w:lang w:val="en-GB"/>
        </w:rPr>
      </w:pPr>
      <w:r w:rsidRPr="00683A09">
        <w:rPr>
          <w:rFonts w:asciiTheme="majorHAnsi" w:hAnsiTheme="majorHAnsi"/>
          <w:sz w:val="24"/>
          <w:szCs w:val="24"/>
        </w:rPr>
        <w:t xml:space="preserve">  </w:t>
      </w:r>
    </w:p>
    <w:p w14:paraId="786CED24" w14:textId="0CA8428A" w:rsidR="00267A5C" w:rsidRPr="00683A09" w:rsidRDefault="00267A5C" w:rsidP="00E41556">
      <w:pPr>
        <w:pStyle w:val="Content"/>
        <w:framePr w:hSpace="0" w:wrap="auto" w:vAnchor="margin" w:hAnchor="text" w:yAlign="inline"/>
        <w:jc w:val="both"/>
        <w:rPr>
          <w:rFonts w:asciiTheme="majorHAnsi" w:hAnsiTheme="majorHAnsi"/>
          <w:sz w:val="24"/>
          <w:szCs w:val="24"/>
        </w:rPr>
      </w:pPr>
      <w:r w:rsidRPr="00683A09">
        <w:rPr>
          <w:rFonts w:asciiTheme="majorHAnsi" w:hAnsiTheme="majorHAnsi"/>
          <w:sz w:val="24"/>
          <w:szCs w:val="24"/>
        </w:rPr>
        <w:t xml:space="preserve">Business Email Spoofing (BES) </w:t>
      </w:r>
      <w:r w:rsidR="00E41556" w:rsidRPr="00683A09">
        <w:rPr>
          <w:rFonts w:asciiTheme="majorHAnsi" w:hAnsiTheme="majorHAnsi"/>
          <w:sz w:val="24"/>
          <w:szCs w:val="24"/>
        </w:rPr>
        <w:t>saw</w:t>
      </w:r>
      <w:r w:rsidRPr="00683A09">
        <w:rPr>
          <w:rFonts w:asciiTheme="majorHAnsi" w:hAnsiTheme="majorHAnsi"/>
          <w:sz w:val="24"/>
          <w:szCs w:val="24"/>
        </w:rPr>
        <w:t xml:space="preserve"> an increase in 2015</w:t>
      </w:r>
      <w:r w:rsidR="00E41556" w:rsidRPr="00683A09">
        <w:rPr>
          <w:rFonts w:asciiTheme="majorHAnsi" w:hAnsiTheme="majorHAnsi"/>
          <w:sz w:val="24"/>
          <w:szCs w:val="24"/>
        </w:rPr>
        <w:t xml:space="preserve"> and has been the primary cyber </w:t>
      </w:r>
      <w:r w:rsidRPr="00683A09">
        <w:rPr>
          <w:rFonts w:asciiTheme="majorHAnsi" w:hAnsiTheme="majorHAnsi"/>
          <w:sz w:val="24"/>
          <w:szCs w:val="24"/>
        </w:rPr>
        <w:t xml:space="preserve">crime incident reported in 2017.  There were 11 BES incidents reported in 2017. </w:t>
      </w:r>
      <w:r w:rsidR="00E41556" w:rsidRPr="00683A09">
        <w:rPr>
          <w:rFonts w:asciiTheme="majorHAnsi" w:hAnsiTheme="majorHAnsi"/>
          <w:sz w:val="24"/>
          <w:szCs w:val="24"/>
        </w:rPr>
        <w:t>There has been an</w:t>
      </w:r>
      <w:r w:rsidRPr="00683A09">
        <w:rPr>
          <w:rFonts w:asciiTheme="majorHAnsi" w:hAnsiTheme="majorHAnsi"/>
          <w:sz w:val="24"/>
          <w:szCs w:val="24"/>
        </w:rPr>
        <w:t xml:space="preserve"> increase in spoofed emails that attempted to mimic the email accounts of both the RCIPS and Immigration Department.</w:t>
      </w:r>
      <w:r w:rsidR="001B34D7">
        <w:rPr>
          <w:rFonts w:asciiTheme="majorHAnsi" w:hAnsiTheme="majorHAnsi"/>
          <w:sz w:val="24"/>
          <w:szCs w:val="24"/>
        </w:rPr>
        <w:t xml:space="preserve"> </w:t>
      </w:r>
    </w:p>
    <w:p w14:paraId="05D2731F" w14:textId="77777777" w:rsidR="00267A5C" w:rsidRPr="00683A09" w:rsidRDefault="00267A5C" w:rsidP="00267A5C">
      <w:pPr>
        <w:pStyle w:val="Content"/>
        <w:framePr w:hSpace="0" w:wrap="auto" w:vAnchor="margin" w:hAnchor="text" w:yAlign="inline"/>
        <w:ind w:left="1500"/>
        <w:rPr>
          <w:rFonts w:asciiTheme="majorHAnsi" w:hAnsiTheme="majorHAnsi"/>
          <w:sz w:val="24"/>
          <w:szCs w:val="24"/>
        </w:rPr>
      </w:pPr>
    </w:p>
    <w:p w14:paraId="06478B2D" w14:textId="77777777" w:rsidR="00B55D04" w:rsidRDefault="00B55D04" w:rsidP="00082588">
      <w:pPr>
        <w:rPr>
          <w:rFonts w:asciiTheme="majorHAnsi" w:hAnsiTheme="majorHAnsi"/>
          <w:b/>
        </w:rPr>
      </w:pPr>
    </w:p>
    <w:p w14:paraId="16CB20FC" w14:textId="3D6EFF90" w:rsidR="00181EF3" w:rsidRPr="00683A09" w:rsidRDefault="00082588" w:rsidP="00082588">
      <w:pPr>
        <w:rPr>
          <w:rFonts w:asciiTheme="majorHAnsi" w:hAnsiTheme="majorHAnsi"/>
          <w:b/>
        </w:rPr>
      </w:pPr>
      <w:r w:rsidRPr="00683A09">
        <w:rPr>
          <w:rFonts w:asciiTheme="majorHAnsi" w:hAnsiTheme="majorHAnsi"/>
          <w:b/>
        </w:rPr>
        <w:t>11. Traffic Collisions and Enforcement</w:t>
      </w:r>
    </w:p>
    <w:p w14:paraId="09BD250A" w14:textId="77777777" w:rsidR="00181EF3" w:rsidRPr="00683A09" w:rsidRDefault="00181EF3" w:rsidP="00267A5C">
      <w:pPr>
        <w:rPr>
          <w:rFonts w:asciiTheme="majorHAnsi" w:hAnsiTheme="majorHAnsi"/>
          <w:b/>
        </w:rPr>
      </w:pPr>
    </w:p>
    <w:p w14:paraId="6D10E524" w14:textId="6D89AA2A" w:rsidR="00AB138A" w:rsidRPr="00683A09" w:rsidRDefault="00AB138A" w:rsidP="00BE7127">
      <w:pPr>
        <w:jc w:val="both"/>
        <w:rPr>
          <w:rFonts w:asciiTheme="majorHAnsi" w:hAnsiTheme="majorHAnsi"/>
        </w:rPr>
      </w:pPr>
      <w:r w:rsidRPr="00683A09">
        <w:rPr>
          <w:rFonts w:asciiTheme="majorHAnsi" w:hAnsiTheme="majorHAnsi"/>
        </w:rPr>
        <w:t>Traffic statistics for 2017 present a mixed picture in terms of general road safety in the Cayman Islands.  The number of fatal accidents on the islands continues to fall for the second straight year, with only three</w:t>
      </w:r>
      <w:r w:rsidR="00C866BC">
        <w:rPr>
          <w:rFonts w:asciiTheme="majorHAnsi" w:hAnsiTheme="majorHAnsi"/>
        </w:rPr>
        <w:t xml:space="preserve"> (3)</w:t>
      </w:r>
      <w:r w:rsidRPr="00683A09">
        <w:rPr>
          <w:rFonts w:asciiTheme="majorHAnsi" w:hAnsiTheme="majorHAnsi"/>
        </w:rPr>
        <w:t xml:space="preserve"> fatal accidents</w:t>
      </w:r>
      <w:r w:rsidR="00C866BC">
        <w:rPr>
          <w:rFonts w:asciiTheme="majorHAnsi" w:hAnsiTheme="majorHAnsi"/>
        </w:rPr>
        <w:t xml:space="preserve"> occurring in 2017, causing six (6) </w:t>
      </w:r>
      <w:r w:rsidRPr="00683A09">
        <w:rPr>
          <w:rFonts w:asciiTheme="majorHAnsi" w:hAnsiTheme="majorHAnsi"/>
        </w:rPr>
        <w:lastRenderedPageBreak/>
        <w:t xml:space="preserve">road deaths in total.  In 2016 </w:t>
      </w:r>
      <w:r w:rsidR="00C866BC">
        <w:rPr>
          <w:rFonts w:asciiTheme="majorHAnsi" w:hAnsiTheme="majorHAnsi"/>
        </w:rPr>
        <w:t>seven (7)</w:t>
      </w:r>
      <w:r w:rsidRPr="00683A09">
        <w:rPr>
          <w:rFonts w:asciiTheme="majorHAnsi" w:hAnsiTheme="majorHAnsi"/>
        </w:rPr>
        <w:t xml:space="preserve"> fatal accidents caused </w:t>
      </w:r>
      <w:r w:rsidR="00C866BC">
        <w:rPr>
          <w:rFonts w:asciiTheme="majorHAnsi" w:hAnsiTheme="majorHAnsi"/>
        </w:rPr>
        <w:t xml:space="preserve">seven (7) </w:t>
      </w:r>
      <w:r w:rsidRPr="00683A09">
        <w:rPr>
          <w:rFonts w:asciiTheme="majorHAnsi" w:hAnsiTheme="majorHAnsi"/>
        </w:rPr>
        <w:t>road deaths.</w:t>
      </w:r>
      <w:r w:rsidR="00C866BC">
        <w:rPr>
          <w:rStyle w:val="FootnoteReference"/>
          <w:rFonts w:asciiTheme="majorHAnsi" w:hAnsiTheme="majorHAnsi"/>
        </w:rPr>
        <w:footnoteReference w:id="8"/>
      </w:r>
      <w:r w:rsidRPr="00683A09">
        <w:rPr>
          <w:rFonts w:asciiTheme="majorHAnsi" w:hAnsiTheme="majorHAnsi"/>
        </w:rPr>
        <w:t xml:space="preserve">  These statistics indicate a welcome downward trend from 2015, when thirteen people lost their lives on the road.</w:t>
      </w:r>
      <w:r w:rsidR="00C84288">
        <w:rPr>
          <w:rFonts w:asciiTheme="majorHAnsi" w:hAnsiTheme="majorHAnsi"/>
        </w:rPr>
        <w:t xml:space="preserve">  At the same time, accidents causing serious injury have nearly doubled.</w:t>
      </w:r>
    </w:p>
    <w:p w14:paraId="1CF1D2E8" w14:textId="77777777" w:rsidR="00AB138A" w:rsidRPr="00683A09" w:rsidRDefault="00AB138A" w:rsidP="00BE7127">
      <w:pPr>
        <w:jc w:val="both"/>
        <w:rPr>
          <w:rFonts w:asciiTheme="majorHAnsi" w:hAnsiTheme="majorHAnsi"/>
        </w:rPr>
      </w:pPr>
    </w:p>
    <w:p w14:paraId="3F63074E" w14:textId="7681588A" w:rsidR="00603E0B" w:rsidRDefault="00C84288" w:rsidP="00BE7127">
      <w:pPr>
        <w:jc w:val="both"/>
        <w:rPr>
          <w:rFonts w:asciiTheme="majorHAnsi" w:hAnsiTheme="majorHAnsi"/>
        </w:rPr>
      </w:pPr>
      <w:r>
        <w:rPr>
          <w:rFonts w:asciiTheme="majorHAnsi" w:hAnsiTheme="majorHAnsi"/>
        </w:rPr>
        <w:t>The total</w:t>
      </w:r>
      <w:r w:rsidR="00AB138A" w:rsidRPr="00683A09">
        <w:rPr>
          <w:rFonts w:asciiTheme="majorHAnsi" w:hAnsiTheme="majorHAnsi"/>
        </w:rPr>
        <w:t xml:space="preserve"> number of </w:t>
      </w:r>
      <w:r>
        <w:rPr>
          <w:rFonts w:asciiTheme="majorHAnsi" w:hAnsiTheme="majorHAnsi"/>
        </w:rPr>
        <w:t xml:space="preserve">traffic </w:t>
      </w:r>
      <w:r w:rsidR="00AB138A" w:rsidRPr="00683A09">
        <w:rPr>
          <w:rFonts w:asciiTheme="majorHAnsi" w:hAnsiTheme="majorHAnsi"/>
        </w:rPr>
        <w:t xml:space="preserve">collisions throughout the islands </w:t>
      </w:r>
      <w:r>
        <w:rPr>
          <w:rFonts w:asciiTheme="majorHAnsi" w:hAnsiTheme="majorHAnsi"/>
        </w:rPr>
        <w:t>registered a startling increase, from 1295 to 2725</w:t>
      </w:r>
      <w:r w:rsidR="00AB138A" w:rsidRPr="00683A09">
        <w:rPr>
          <w:rFonts w:asciiTheme="majorHAnsi" w:hAnsiTheme="majorHAnsi"/>
        </w:rPr>
        <w:t xml:space="preserve">. </w:t>
      </w:r>
      <w:r w:rsidR="00603E0B">
        <w:rPr>
          <w:rFonts w:asciiTheme="majorHAnsi" w:hAnsiTheme="majorHAnsi"/>
        </w:rPr>
        <w:t xml:space="preserve"> </w:t>
      </w:r>
      <w:r>
        <w:rPr>
          <w:rFonts w:asciiTheme="majorHAnsi" w:hAnsiTheme="majorHAnsi"/>
        </w:rPr>
        <w:t xml:space="preserve">Eighty-nine percent of these were categorized as “damage only” </w:t>
      </w:r>
      <w:r w:rsidR="00603E0B" w:rsidRPr="00683A09">
        <w:rPr>
          <w:rFonts w:asciiTheme="majorHAnsi" w:hAnsiTheme="majorHAnsi"/>
        </w:rPr>
        <w:t xml:space="preserve">road collisions. </w:t>
      </w:r>
      <w:r w:rsidR="00AB138A" w:rsidRPr="00683A09">
        <w:rPr>
          <w:rFonts w:asciiTheme="majorHAnsi" w:hAnsiTheme="majorHAnsi"/>
        </w:rPr>
        <w:t>T</w:t>
      </w:r>
      <w:r>
        <w:rPr>
          <w:rFonts w:asciiTheme="majorHAnsi" w:hAnsiTheme="majorHAnsi"/>
        </w:rPr>
        <w:t>raffic officers attribute this</w:t>
      </w:r>
      <w:r w:rsidR="00AB138A" w:rsidRPr="00683A09">
        <w:rPr>
          <w:rFonts w:asciiTheme="majorHAnsi" w:hAnsiTheme="majorHAnsi"/>
        </w:rPr>
        <w:t xml:space="preserve"> increase to a number of factors, </w:t>
      </w:r>
      <w:r w:rsidR="00603E0B">
        <w:rPr>
          <w:rFonts w:asciiTheme="majorHAnsi" w:hAnsiTheme="majorHAnsi"/>
        </w:rPr>
        <w:t xml:space="preserve">including </w:t>
      </w:r>
      <w:r w:rsidR="00603E0B" w:rsidRPr="00683A09">
        <w:rPr>
          <w:rFonts w:asciiTheme="majorHAnsi" w:hAnsiTheme="majorHAnsi"/>
        </w:rPr>
        <w:t>more precise internal police reporting procedures around low-level accidents</w:t>
      </w:r>
      <w:r w:rsidR="00603E0B">
        <w:rPr>
          <w:rFonts w:asciiTheme="majorHAnsi" w:hAnsiTheme="majorHAnsi"/>
        </w:rPr>
        <w:t xml:space="preserve">.  </w:t>
      </w:r>
    </w:p>
    <w:p w14:paraId="312313FF" w14:textId="77777777" w:rsidR="00603E0B" w:rsidRDefault="00603E0B" w:rsidP="00BE7127">
      <w:pPr>
        <w:jc w:val="both"/>
        <w:rPr>
          <w:rFonts w:asciiTheme="majorHAnsi" w:hAnsiTheme="majorHAnsi"/>
        </w:rPr>
      </w:pPr>
    </w:p>
    <w:p w14:paraId="41BEB285" w14:textId="24DE8360" w:rsidR="00AF3468" w:rsidRPr="00683A09" w:rsidRDefault="00C84288" w:rsidP="00BE7127">
      <w:pPr>
        <w:jc w:val="both"/>
        <w:rPr>
          <w:rFonts w:asciiTheme="majorHAnsi" w:hAnsiTheme="majorHAnsi"/>
        </w:rPr>
      </w:pPr>
      <w:r>
        <w:rPr>
          <w:rFonts w:asciiTheme="majorHAnsi" w:hAnsiTheme="majorHAnsi"/>
        </w:rPr>
        <w:t>They also report that they</w:t>
      </w:r>
      <w:r w:rsidR="00603E0B">
        <w:rPr>
          <w:rFonts w:asciiTheme="majorHAnsi" w:hAnsiTheme="majorHAnsi"/>
        </w:rPr>
        <w:t xml:space="preserve"> have observed a change in</w:t>
      </w:r>
      <w:r w:rsidR="00AB138A" w:rsidRPr="00683A09">
        <w:rPr>
          <w:rFonts w:asciiTheme="majorHAnsi" w:hAnsiTheme="majorHAnsi"/>
        </w:rPr>
        <w:t xml:space="preserve"> behavior around the reporting of </w:t>
      </w:r>
      <w:r w:rsidR="00603E0B">
        <w:rPr>
          <w:rFonts w:asciiTheme="majorHAnsi" w:hAnsiTheme="majorHAnsi"/>
        </w:rPr>
        <w:t xml:space="preserve">low-level </w:t>
      </w:r>
      <w:r w:rsidR="00AB138A" w:rsidRPr="00683A09">
        <w:rPr>
          <w:rFonts w:asciiTheme="majorHAnsi" w:hAnsiTheme="majorHAnsi"/>
        </w:rPr>
        <w:t xml:space="preserve">accidents.  Changes to the Traffic Law in </w:t>
      </w:r>
      <w:r w:rsidR="009C7888">
        <w:rPr>
          <w:rFonts w:asciiTheme="majorHAnsi" w:hAnsiTheme="majorHAnsi"/>
        </w:rPr>
        <w:t>2011</w:t>
      </w:r>
      <w:r w:rsidR="008219A7">
        <w:rPr>
          <w:rStyle w:val="FootnoteReference"/>
          <w:rFonts w:asciiTheme="majorHAnsi" w:hAnsiTheme="majorHAnsi"/>
        </w:rPr>
        <w:footnoteReference w:id="9"/>
      </w:r>
      <w:r w:rsidR="00AB138A" w:rsidRPr="00683A09">
        <w:rPr>
          <w:rFonts w:asciiTheme="majorHAnsi" w:hAnsiTheme="majorHAnsi"/>
        </w:rPr>
        <w:t xml:space="preserve"> enabled motorists involved in “damage only” collisions to resolve their incidents without police </w:t>
      </w:r>
      <w:r w:rsidR="00086868" w:rsidRPr="00683A09">
        <w:rPr>
          <w:rFonts w:asciiTheme="majorHAnsi" w:hAnsiTheme="majorHAnsi"/>
        </w:rPr>
        <w:t xml:space="preserve">involvement </w:t>
      </w:r>
      <w:r w:rsidR="00AB138A" w:rsidRPr="00683A09">
        <w:rPr>
          <w:rFonts w:asciiTheme="majorHAnsi" w:hAnsiTheme="majorHAnsi"/>
        </w:rPr>
        <w:t xml:space="preserve">if both parties could come to an agreement.  </w:t>
      </w:r>
      <w:r w:rsidR="0014244C">
        <w:rPr>
          <w:rFonts w:asciiTheme="majorHAnsi" w:hAnsiTheme="majorHAnsi"/>
        </w:rPr>
        <w:t>Some</w:t>
      </w:r>
      <w:r w:rsidR="00086868" w:rsidRPr="00683A09">
        <w:rPr>
          <w:rFonts w:asciiTheme="majorHAnsi" w:hAnsiTheme="majorHAnsi"/>
        </w:rPr>
        <w:t xml:space="preserve"> motorists </w:t>
      </w:r>
      <w:r w:rsidR="0014244C">
        <w:rPr>
          <w:rFonts w:asciiTheme="majorHAnsi" w:hAnsiTheme="majorHAnsi"/>
        </w:rPr>
        <w:t>elected</w:t>
      </w:r>
      <w:r w:rsidR="00086868" w:rsidRPr="00683A09">
        <w:rPr>
          <w:rFonts w:asciiTheme="majorHAnsi" w:hAnsiTheme="majorHAnsi"/>
        </w:rPr>
        <w:t xml:space="preserve"> to resolve matters amongst themselves after changes to the law came into effect; however, over time it appears that motorists have moved away from on-site agreements, having found that one or both parties have not </w:t>
      </w:r>
      <w:r w:rsidR="009C7888">
        <w:rPr>
          <w:rFonts w:asciiTheme="majorHAnsi" w:hAnsiTheme="majorHAnsi"/>
        </w:rPr>
        <w:t xml:space="preserve">reliably </w:t>
      </w:r>
      <w:r w:rsidR="00086868" w:rsidRPr="00683A09">
        <w:rPr>
          <w:rFonts w:asciiTheme="majorHAnsi" w:hAnsiTheme="majorHAnsi"/>
        </w:rPr>
        <w:t xml:space="preserve">kept to these agreements.  Traffic officers advise that more and more motorists are filing </w:t>
      </w:r>
      <w:r w:rsidR="00AF3468" w:rsidRPr="00683A09">
        <w:rPr>
          <w:rFonts w:asciiTheme="majorHAnsi" w:hAnsiTheme="majorHAnsi"/>
        </w:rPr>
        <w:t xml:space="preserve">late </w:t>
      </w:r>
      <w:r w:rsidR="00086868" w:rsidRPr="00683A09">
        <w:rPr>
          <w:rFonts w:asciiTheme="majorHAnsi" w:hAnsiTheme="majorHAnsi"/>
        </w:rPr>
        <w:t xml:space="preserve">accident reports when such agreements have fallen through.  </w:t>
      </w:r>
    </w:p>
    <w:p w14:paraId="07B5B264" w14:textId="77777777" w:rsidR="00AF3468" w:rsidRPr="00683A09" w:rsidRDefault="00AF3468" w:rsidP="00BE7127">
      <w:pPr>
        <w:jc w:val="both"/>
        <w:rPr>
          <w:rFonts w:asciiTheme="majorHAnsi" w:hAnsiTheme="majorHAnsi"/>
        </w:rPr>
      </w:pPr>
    </w:p>
    <w:p w14:paraId="77337E8F" w14:textId="5C638B4A" w:rsidR="00AB138A" w:rsidRPr="00683A09" w:rsidRDefault="00C84288" w:rsidP="00BE7127">
      <w:pPr>
        <w:jc w:val="both"/>
        <w:rPr>
          <w:rFonts w:asciiTheme="majorHAnsi" w:hAnsiTheme="majorHAnsi"/>
        </w:rPr>
      </w:pPr>
      <w:r>
        <w:rPr>
          <w:rFonts w:asciiTheme="majorHAnsi" w:hAnsiTheme="majorHAnsi"/>
        </w:rPr>
        <w:t>We believe that these factors</w:t>
      </w:r>
      <w:r w:rsidR="009C7888">
        <w:rPr>
          <w:rFonts w:asciiTheme="majorHAnsi" w:hAnsiTheme="majorHAnsi"/>
        </w:rPr>
        <w:t xml:space="preserve"> </w:t>
      </w:r>
      <w:r w:rsidR="00086868" w:rsidRPr="00683A09">
        <w:rPr>
          <w:rFonts w:asciiTheme="majorHAnsi" w:hAnsiTheme="majorHAnsi"/>
        </w:rPr>
        <w:t xml:space="preserve">may account for </w:t>
      </w:r>
      <w:r w:rsidR="00086868" w:rsidRPr="00A30B82">
        <w:rPr>
          <w:rFonts w:asciiTheme="majorHAnsi" w:hAnsiTheme="majorHAnsi"/>
          <w:u w:val="single"/>
        </w:rPr>
        <w:t>some</w:t>
      </w:r>
      <w:r w:rsidR="009C7888">
        <w:rPr>
          <w:rFonts w:asciiTheme="majorHAnsi" w:hAnsiTheme="majorHAnsi"/>
        </w:rPr>
        <w:t xml:space="preserve"> of the</w:t>
      </w:r>
      <w:r w:rsidR="00086868" w:rsidRPr="00683A09">
        <w:rPr>
          <w:rFonts w:asciiTheme="majorHAnsi" w:hAnsiTheme="majorHAnsi"/>
        </w:rPr>
        <w:t xml:space="preserve"> increase</w:t>
      </w:r>
      <w:r w:rsidR="009C7888">
        <w:rPr>
          <w:rFonts w:asciiTheme="majorHAnsi" w:hAnsiTheme="majorHAnsi"/>
        </w:rPr>
        <w:t xml:space="preserve"> in traffic accidents</w:t>
      </w:r>
      <w:r w:rsidR="00086868" w:rsidRPr="00683A09">
        <w:rPr>
          <w:rFonts w:asciiTheme="majorHAnsi" w:hAnsiTheme="majorHAnsi"/>
        </w:rPr>
        <w:t>.  Traffic officers also believe that the overall number of traffic collisions is rising in real terms.</w:t>
      </w:r>
    </w:p>
    <w:p w14:paraId="01BF154B" w14:textId="77777777" w:rsidR="00086868" w:rsidRPr="00683A09" w:rsidRDefault="00086868" w:rsidP="00BE7127">
      <w:pPr>
        <w:jc w:val="both"/>
        <w:rPr>
          <w:rFonts w:asciiTheme="majorHAnsi" w:hAnsiTheme="majorHAnsi"/>
        </w:rPr>
      </w:pPr>
    </w:p>
    <w:p w14:paraId="71E3811A" w14:textId="77777777" w:rsidR="00C84288" w:rsidRDefault="00086868" w:rsidP="00BE7127">
      <w:pPr>
        <w:jc w:val="both"/>
        <w:rPr>
          <w:rFonts w:asciiTheme="majorHAnsi" w:hAnsiTheme="majorHAnsi"/>
        </w:rPr>
      </w:pPr>
      <w:r w:rsidRPr="00683A09">
        <w:rPr>
          <w:rFonts w:asciiTheme="majorHAnsi" w:hAnsiTheme="majorHAnsi"/>
        </w:rPr>
        <w:t xml:space="preserve">Traffic enforcement </w:t>
      </w:r>
      <w:r w:rsidR="00AF3468" w:rsidRPr="00683A09">
        <w:rPr>
          <w:rFonts w:asciiTheme="majorHAnsi" w:hAnsiTheme="majorHAnsi"/>
        </w:rPr>
        <w:t xml:space="preserve">of drunk driving, and driving without insurance, increased steadily in 2017, but enforcement across other categories fell.  The Traffic and Roads Policing Unit </w:t>
      </w:r>
      <w:r w:rsidR="00443C05" w:rsidRPr="00683A09">
        <w:rPr>
          <w:rFonts w:asciiTheme="majorHAnsi" w:hAnsiTheme="majorHAnsi"/>
        </w:rPr>
        <w:t xml:space="preserve">(TRPU) began the year as a small, re-launched unit capable of only strategic enforcement and serious collision investigations.  Staffing </w:t>
      </w:r>
      <w:r w:rsidR="00AF3468" w:rsidRPr="00683A09">
        <w:rPr>
          <w:rFonts w:asciiTheme="majorHAnsi" w:hAnsiTheme="majorHAnsi"/>
        </w:rPr>
        <w:t xml:space="preserve">increased incrementally throughout 2017, but could not sustain </w:t>
      </w:r>
      <w:r w:rsidR="00443C05" w:rsidRPr="00683A09">
        <w:rPr>
          <w:rFonts w:asciiTheme="majorHAnsi" w:hAnsiTheme="majorHAnsi"/>
        </w:rPr>
        <w:t>2016</w:t>
      </w:r>
      <w:r w:rsidR="00AF3468" w:rsidRPr="00683A09">
        <w:rPr>
          <w:rFonts w:asciiTheme="majorHAnsi" w:hAnsiTheme="majorHAnsi"/>
        </w:rPr>
        <w:t xml:space="preserve"> enfo</w:t>
      </w:r>
      <w:r w:rsidR="00443C05" w:rsidRPr="00683A09">
        <w:rPr>
          <w:rFonts w:asciiTheme="majorHAnsi" w:hAnsiTheme="majorHAnsi"/>
        </w:rPr>
        <w:t xml:space="preserve">rcement levels due to emergency hurricane season </w:t>
      </w:r>
      <w:r w:rsidR="00AF3468" w:rsidRPr="00683A09">
        <w:rPr>
          <w:rFonts w:asciiTheme="majorHAnsi" w:hAnsiTheme="majorHAnsi"/>
        </w:rPr>
        <w:t xml:space="preserve">secondments </w:t>
      </w:r>
      <w:r w:rsidR="00443C05" w:rsidRPr="00683A09">
        <w:rPr>
          <w:rFonts w:asciiTheme="majorHAnsi" w:hAnsiTheme="majorHAnsi"/>
        </w:rPr>
        <w:t xml:space="preserve">and leave. </w:t>
      </w:r>
    </w:p>
    <w:p w14:paraId="12B9D0C4" w14:textId="77777777" w:rsidR="00C84288" w:rsidRDefault="00C84288" w:rsidP="00BE7127">
      <w:pPr>
        <w:jc w:val="both"/>
        <w:rPr>
          <w:rFonts w:asciiTheme="majorHAnsi" w:hAnsiTheme="majorHAnsi"/>
        </w:rPr>
      </w:pPr>
    </w:p>
    <w:p w14:paraId="45926492" w14:textId="3BB7B40E" w:rsidR="00CA2F32" w:rsidRPr="00CC77D8" w:rsidRDefault="00443C05" w:rsidP="004C7B8A">
      <w:pPr>
        <w:jc w:val="both"/>
        <w:rPr>
          <w:rFonts w:asciiTheme="majorHAnsi" w:hAnsiTheme="majorHAnsi"/>
          <w:sz w:val="22"/>
          <w:szCs w:val="22"/>
        </w:rPr>
      </w:pPr>
      <w:r w:rsidRPr="00683A09">
        <w:rPr>
          <w:rFonts w:asciiTheme="majorHAnsi" w:hAnsiTheme="majorHAnsi"/>
        </w:rPr>
        <w:t xml:space="preserve">The TRPU began 2018 fully staffed and equipped, </w:t>
      </w:r>
      <w:r w:rsidR="00C84288">
        <w:rPr>
          <w:rFonts w:asciiTheme="majorHAnsi" w:hAnsiTheme="majorHAnsi"/>
        </w:rPr>
        <w:t>and has been</w:t>
      </w:r>
      <w:r w:rsidRPr="00683A09">
        <w:rPr>
          <w:rFonts w:asciiTheme="majorHAnsi" w:hAnsiTheme="majorHAnsi"/>
        </w:rPr>
        <w:t xml:space="preserve"> running regular operations around the islands </w:t>
      </w:r>
      <w:r w:rsidR="00C84288">
        <w:rPr>
          <w:rFonts w:asciiTheme="majorHAnsi" w:hAnsiTheme="majorHAnsi"/>
        </w:rPr>
        <w:t xml:space="preserve">targeting different offences.  </w:t>
      </w:r>
      <w:r w:rsidR="00FD73A9">
        <w:rPr>
          <w:rFonts w:asciiTheme="majorHAnsi" w:hAnsiTheme="majorHAnsi"/>
        </w:rPr>
        <w:t>So far this year (as of 19 April), one hundred fifty-three motorists have been arrested for driving under the influence or otherwise impaired, 672 speeding tickets have been issued, and 178 tickets have been issued for using a mobile phone while driving. These numbers clearly indicate that this year’s enforcement totals will far exceed those of recent years, and hopefully help bring</w:t>
      </w:r>
      <w:r w:rsidR="00C84288">
        <w:rPr>
          <w:rFonts w:asciiTheme="majorHAnsi" w:hAnsiTheme="majorHAnsi"/>
        </w:rPr>
        <w:t xml:space="preserve"> about a</w:t>
      </w:r>
      <w:r w:rsidR="00611CE5">
        <w:rPr>
          <w:rFonts w:asciiTheme="majorHAnsi" w:hAnsiTheme="majorHAnsi"/>
        </w:rPr>
        <w:t xml:space="preserve"> change in behavior on the road for the benefit of general public safety</w:t>
      </w:r>
      <w:r w:rsidR="00CC77D8">
        <w:rPr>
          <w:rFonts w:asciiTheme="majorHAnsi" w:hAnsiTheme="majorHAnsi"/>
        </w:rPr>
        <w:t xml:space="preserve"> in the Cayman Isla</w:t>
      </w:r>
      <w:r w:rsidR="004C7B8A">
        <w:rPr>
          <w:rFonts w:asciiTheme="majorHAnsi" w:hAnsiTheme="majorHAnsi"/>
        </w:rPr>
        <w:t>nds.</w:t>
      </w:r>
    </w:p>
    <w:sectPr w:rsidR="00CA2F32" w:rsidRPr="00CC77D8" w:rsidSect="0000535B">
      <w:headerReference w:type="default" r:id="rId12"/>
      <w:footerReference w:type="even" r:id="rId13"/>
      <w:footerReference w:type="default" r:id="rId14"/>
      <w:pgSz w:w="12240" w:h="15840" w:code="1"/>
      <w:pgMar w:top="907" w:right="1800" w:bottom="99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81F6" w14:textId="77777777" w:rsidR="00453BBA" w:rsidRDefault="00453BBA" w:rsidP="00C96B6F">
      <w:r>
        <w:separator/>
      </w:r>
    </w:p>
  </w:endnote>
  <w:endnote w:type="continuationSeparator" w:id="0">
    <w:p w14:paraId="64956B10" w14:textId="77777777" w:rsidR="00453BBA" w:rsidRDefault="00453BBA" w:rsidP="00C9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2EE4" w14:textId="77777777" w:rsidR="00497884" w:rsidRDefault="00497884" w:rsidP="00B76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AFA25" w14:textId="77777777" w:rsidR="00497884" w:rsidRDefault="00497884" w:rsidP="00B76B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A794D" w14:textId="77777777" w:rsidR="00497884" w:rsidRDefault="00497884" w:rsidP="00B76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2DD">
      <w:rPr>
        <w:rStyle w:val="PageNumber"/>
        <w:noProof/>
      </w:rPr>
      <w:t>2</w:t>
    </w:r>
    <w:r>
      <w:rPr>
        <w:rStyle w:val="PageNumber"/>
      </w:rPr>
      <w:fldChar w:fldCharType="end"/>
    </w:r>
  </w:p>
  <w:p w14:paraId="116CC8A7" w14:textId="77777777" w:rsidR="00497884" w:rsidRDefault="00497884" w:rsidP="00B76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1BEA" w14:textId="77777777" w:rsidR="00453BBA" w:rsidRDefault="00453BBA" w:rsidP="00C96B6F">
      <w:r>
        <w:separator/>
      </w:r>
    </w:p>
  </w:footnote>
  <w:footnote w:type="continuationSeparator" w:id="0">
    <w:p w14:paraId="13F121C0" w14:textId="77777777" w:rsidR="00453BBA" w:rsidRDefault="00453BBA" w:rsidP="00C96B6F">
      <w:r>
        <w:continuationSeparator/>
      </w:r>
    </w:p>
  </w:footnote>
  <w:footnote w:id="1">
    <w:p w14:paraId="33FD9A64" w14:textId="2F2570F0" w:rsidR="00497884" w:rsidRPr="00DC755D" w:rsidRDefault="00497884" w:rsidP="00993EF4">
      <w:pPr>
        <w:pStyle w:val="FootnoteText"/>
        <w:jc w:val="both"/>
        <w:rPr>
          <w:rFonts w:asciiTheme="majorHAnsi" w:hAnsiTheme="majorHAnsi"/>
          <w:sz w:val="20"/>
          <w:szCs w:val="20"/>
        </w:rPr>
      </w:pPr>
      <w:r w:rsidRPr="00DC755D">
        <w:rPr>
          <w:rStyle w:val="FootnoteReference"/>
          <w:rFonts w:asciiTheme="majorHAnsi" w:hAnsiTheme="majorHAnsi"/>
          <w:sz w:val="20"/>
          <w:szCs w:val="20"/>
        </w:rPr>
        <w:footnoteRef/>
      </w:r>
      <w:r w:rsidRPr="00DC755D">
        <w:rPr>
          <w:rFonts w:asciiTheme="majorHAnsi" w:hAnsiTheme="majorHAnsi"/>
          <w:sz w:val="20"/>
          <w:szCs w:val="20"/>
        </w:rPr>
        <w:t xml:space="preserve"> According to the Department of Public Safety Communications (DPSC), nearly 80% of all 9-1-1 calls for dispatch in 2017 were answered by police.</w:t>
      </w:r>
    </w:p>
  </w:footnote>
  <w:footnote w:id="2">
    <w:p w14:paraId="75735714" w14:textId="708BF63E" w:rsidR="00497884" w:rsidRPr="00DC755D" w:rsidRDefault="00497884" w:rsidP="00993EF4">
      <w:pPr>
        <w:pStyle w:val="FootnoteText"/>
        <w:jc w:val="both"/>
        <w:rPr>
          <w:rFonts w:asciiTheme="majorHAnsi" w:hAnsiTheme="majorHAnsi"/>
          <w:sz w:val="20"/>
          <w:szCs w:val="20"/>
        </w:rPr>
      </w:pPr>
      <w:r w:rsidRPr="00DC755D">
        <w:rPr>
          <w:rStyle w:val="FootnoteReference"/>
          <w:rFonts w:asciiTheme="majorHAnsi" w:hAnsiTheme="majorHAnsi"/>
          <w:sz w:val="20"/>
          <w:szCs w:val="20"/>
        </w:rPr>
        <w:footnoteRef/>
      </w:r>
      <w:r w:rsidRPr="00DC755D">
        <w:rPr>
          <w:rFonts w:asciiTheme="majorHAnsi" w:hAnsiTheme="majorHAnsi"/>
          <w:sz w:val="20"/>
          <w:szCs w:val="20"/>
        </w:rPr>
        <w:t xml:space="preserve"> Aggregate Calls for Service numbers published annually by the DPSC only include 9-1-1 calls for dispatch. Examples of non-emergency calls received directly by police stations include lost passports, lost number plates, arrest warrants from outside agencies, etc.</w:t>
      </w:r>
    </w:p>
  </w:footnote>
  <w:footnote w:id="3">
    <w:p w14:paraId="414D313A" w14:textId="72C909ED" w:rsidR="00497884" w:rsidRPr="00DC755D" w:rsidRDefault="00497884" w:rsidP="00A84FDB">
      <w:pPr>
        <w:pStyle w:val="FootnoteText"/>
        <w:jc w:val="both"/>
        <w:rPr>
          <w:rFonts w:asciiTheme="majorHAnsi" w:hAnsiTheme="majorHAnsi"/>
          <w:sz w:val="20"/>
          <w:szCs w:val="20"/>
        </w:rPr>
      </w:pPr>
      <w:r w:rsidRPr="00DC755D">
        <w:rPr>
          <w:rStyle w:val="FootnoteReference"/>
          <w:rFonts w:asciiTheme="majorHAnsi" w:hAnsiTheme="majorHAnsi"/>
          <w:sz w:val="20"/>
          <w:szCs w:val="20"/>
        </w:rPr>
        <w:footnoteRef/>
      </w:r>
      <w:r w:rsidRPr="00DC755D">
        <w:rPr>
          <w:rFonts w:asciiTheme="majorHAnsi" w:hAnsiTheme="majorHAnsi"/>
          <w:sz w:val="20"/>
          <w:szCs w:val="20"/>
        </w:rPr>
        <w:t xml:space="preserve"> The RCIPS notifies the public of each vehicle reported stolen, in an effort to both locate stolen property but also prevent the use of the vehicle to commit other crimes.  Older Hondas, especially Honda Civics, were stolen frequently </w:t>
      </w:r>
      <w:r w:rsidR="00D67E08">
        <w:rPr>
          <w:rFonts w:asciiTheme="majorHAnsi" w:hAnsiTheme="majorHAnsi"/>
          <w:sz w:val="20"/>
          <w:szCs w:val="20"/>
        </w:rPr>
        <w:t xml:space="preserve">throughout 2017 </w:t>
      </w:r>
      <w:r w:rsidRPr="00DC755D">
        <w:rPr>
          <w:rFonts w:asciiTheme="majorHAnsi" w:hAnsiTheme="majorHAnsi"/>
          <w:sz w:val="20"/>
          <w:szCs w:val="20"/>
        </w:rPr>
        <w:t xml:space="preserve">in a </w:t>
      </w:r>
      <w:r w:rsidR="00D67E08">
        <w:rPr>
          <w:rFonts w:asciiTheme="majorHAnsi" w:hAnsiTheme="majorHAnsi"/>
          <w:sz w:val="20"/>
          <w:szCs w:val="20"/>
        </w:rPr>
        <w:t>surge</w:t>
      </w:r>
      <w:r w:rsidRPr="00DC755D">
        <w:rPr>
          <w:rFonts w:asciiTheme="majorHAnsi" w:hAnsiTheme="majorHAnsi"/>
          <w:sz w:val="20"/>
          <w:szCs w:val="20"/>
        </w:rPr>
        <w:t xml:space="preserve"> of thefts that contributed to this spike in motor vehicle thefts overall. </w:t>
      </w:r>
    </w:p>
  </w:footnote>
  <w:footnote w:id="4">
    <w:p w14:paraId="3C6BC794" w14:textId="5D09B9C0" w:rsidR="00497884" w:rsidRPr="00DC755D" w:rsidRDefault="00497884" w:rsidP="00A84FDB">
      <w:pPr>
        <w:pStyle w:val="FootnoteText"/>
        <w:jc w:val="both"/>
        <w:rPr>
          <w:rFonts w:asciiTheme="majorHAnsi" w:hAnsiTheme="majorHAnsi"/>
          <w:sz w:val="20"/>
          <w:szCs w:val="20"/>
        </w:rPr>
      </w:pPr>
      <w:r w:rsidRPr="00DC755D">
        <w:rPr>
          <w:rStyle w:val="FootnoteReference"/>
          <w:rFonts w:asciiTheme="majorHAnsi" w:hAnsiTheme="majorHAnsi"/>
          <w:sz w:val="20"/>
          <w:szCs w:val="20"/>
        </w:rPr>
        <w:footnoteRef/>
      </w:r>
      <w:r w:rsidRPr="00DC755D">
        <w:rPr>
          <w:rFonts w:asciiTheme="majorHAnsi" w:hAnsiTheme="majorHAnsi"/>
          <w:sz w:val="20"/>
          <w:szCs w:val="20"/>
        </w:rPr>
        <w:t xml:space="preserve"> On 20 December a visiting 8-year-old girl received a permanent injury to her ear after being viciously attacked by her relative’s dog.  </w:t>
      </w:r>
    </w:p>
  </w:footnote>
  <w:footnote w:id="5">
    <w:p w14:paraId="159CEEF8" w14:textId="2261111F" w:rsidR="00497884" w:rsidRPr="00DC755D" w:rsidRDefault="00497884" w:rsidP="008D4E04">
      <w:pPr>
        <w:pStyle w:val="FootnoteText"/>
        <w:jc w:val="both"/>
        <w:rPr>
          <w:rFonts w:asciiTheme="majorHAnsi" w:hAnsiTheme="majorHAnsi"/>
          <w:sz w:val="20"/>
          <w:szCs w:val="20"/>
        </w:rPr>
      </w:pPr>
      <w:r w:rsidRPr="008D4E04">
        <w:rPr>
          <w:rStyle w:val="FootnoteReference"/>
          <w:sz w:val="20"/>
          <w:szCs w:val="20"/>
        </w:rPr>
        <w:footnoteRef/>
      </w:r>
      <w:r w:rsidRPr="008D4E04">
        <w:rPr>
          <w:sz w:val="20"/>
          <w:szCs w:val="20"/>
        </w:rPr>
        <w:t xml:space="preserve"> </w:t>
      </w:r>
      <w:r w:rsidRPr="00DC755D">
        <w:rPr>
          <w:rFonts w:asciiTheme="majorHAnsi" w:hAnsiTheme="majorHAnsi"/>
          <w:sz w:val="20"/>
          <w:szCs w:val="20"/>
        </w:rPr>
        <w:t xml:space="preserve">At the height of this wave of burglaries in Bodden Town in spring 2017, </w:t>
      </w:r>
      <w:r w:rsidR="00601468">
        <w:rPr>
          <w:rFonts w:asciiTheme="majorHAnsi" w:hAnsiTheme="majorHAnsi"/>
          <w:sz w:val="20"/>
          <w:szCs w:val="20"/>
        </w:rPr>
        <w:t>twenty</w:t>
      </w:r>
      <w:r w:rsidRPr="00DC755D">
        <w:rPr>
          <w:rFonts w:asciiTheme="majorHAnsi" w:hAnsiTheme="majorHAnsi"/>
          <w:sz w:val="20"/>
          <w:szCs w:val="20"/>
        </w:rPr>
        <w:t xml:space="preserve"> burglaries were reported </w:t>
      </w:r>
      <w:r w:rsidR="00601468">
        <w:rPr>
          <w:rFonts w:asciiTheme="majorHAnsi" w:hAnsiTheme="majorHAnsi"/>
          <w:sz w:val="20"/>
          <w:szCs w:val="20"/>
        </w:rPr>
        <w:t>during one week</w:t>
      </w:r>
      <w:r w:rsidRPr="00DC755D">
        <w:rPr>
          <w:rFonts w:asciiTheme="majorHAnsi" w:hAnsiTheme="majorHAnsi"/>
          <w:sz w:val="20"/>
          <w:szCs w:val="20"/>
        </w:rPr>
        <w:t>.  Police reinforcements to the area helped quickly bring the situation under control, with 5 young men arrested and charged. All five defendants are currently before the court, and were under 20 years of age when arrested in 2017.</w:t>
      </w:r>
    </w:p>
  </w:footnote>
  <w:footnote w:id="6">
    <w:p w14:paraId="7E4D49A8" w14:textId="3BD365C8" w:rsidR="00497884" w:rsidRPr="00627C88" w:rsidRDefault="00497884" w:rsidP="00506D18">
      <w:pPr>
        <w:pStyle w:val="ListParagraph"/>
        <w:ind w:left="0"/>
        <w:jc w:val="both"/>
        <w:rPr>
          <w:rFonts w:asciiTheme="majorHAnsi" w:hAnsiTheme="majorHAnsi"/>
        </w:rPr>
      </w:pPr>
      <w:r w:rsidRPr="00A51705">
        <w:rPr>
          <w:rStyle w:val="FootnoteReference"/>
          <w:rFonts w:asciiTheme="majorHAnsi" w:hAnsiTheme="majorHAnsi"/>
          <w:sz w:val="20"/>
          <w:szCs w:val="20"/>
        </w:rPr>
        <w:footnoteRef/>
      </w:r>
      <w:r w:rsidRPr="00A51705">
        <w:rPr>
          <w:rFonts w:asciiTheme="majorHAnsi" w:hAnsiTheme="majorHAnsi"/>
          <w:sz w:val="20"/>
          <w:szCs w:val="20"/>
        </w:rPr>
        <w:t xml:space="preserve"> Those crimes where a firearm was used in the commission of a more serious offence, such as murder or robbery, are not included in this table. Only the primary offence (e.g., robbery or murder) is inc</w:t>
      </w:r>
      <w:r>
        <w:rPr>
          <w:rFonts w:asciiTheme="majorHAnsi" w:hAnsiTheme="majorHAnsi"/>
          <w:sz w:val="20"/>
          <w:szCs w:val="20"/>
        </w:rPr>
        <w:t>luded in the annual statistics, per the</w:t>
      </w:r>
      <w:r w:rsidRPr="00A51705">
        <w:rPr>
          <w:rFonts w:asciiTheme="majorHAnsi" w:hAnsiTheme="majorHAnsi"/>
          <w:sz w:val="20"/>
          <w:szCs w:val="20"/>
        </w:rPr>
        <w:t xml:space="preserve"> UK National Counting Rules.</w:t>
      </w:r>
    </w:p>
    <w:p w14:paraId="27B61B60" w14:textId="40F6BEA6" w:rsidR="00497884" w:rsidRDefault="00497884">
      <w:pPr>
        <w:pStyle w:val="FootnoteText"/>
      </w:pPr>
    </w:p>
  </w:footnote>
  <w:footnote w:id="7">
    <w:p w14:paraId="3786D1FD" w14:textId="38C754C1" w:rsidR="00497884" w:rsidRPr="007735B1" w:rsidRDefault="00497884">
      <w:pPr>
        <w:pStyle w:val="FootnoteText"/>
        <w:rPr>
          <w:rFonts w:asciiTheme="majorHAnsi" w:hAnsiTheme="majorHAnsi"/>
          <w:sz w:val="20"/>
          <w:szCs w:val="20"/>
        </w:rPr>
      </w:pPr>
      <w:r w:rsidRPr="007735B1">
        <w:rPr>
          <w:rStyle w:val="FootnoteReference"/>
          <w:rFonts w:asciiTheme="majorHAnsi" w:hAnsiTheme="majorHAnsi"/>
          <w:sz w:val="20"/>
          <w:szCs w:val="20"/>
        </w:rPr>
        <w:footnoteRef/>
      </w:r>
      <w:r w:rsidRPr="007735B1">
        <w:rPr>
          <w:rFonts w:asciiTheme="majorHAnsi" w:hAnsiTheme="majorHAnsi"/>
          <w:sz w:val="20"/>
          <w:szCs w:val="20"/>
        </w:rPr>
        <w:t xml:space="preserve"> </w:t>
      </w:r>
      <w:proofErr w:type="gramStart"/>
      <w:r w:rsidRPr="007735B1">
        <w:rPr>
          <w:rFonts w:asciiTheme="majorHAnsi" w:hAnsiTheme="majorHAnsi"/>
          <w:sz w:val="20"/>
          <w:szCs w:val="20"/>
        </w:rPr>
        <w:t>Per the RCIPS Domestic Violence Policy.</w:t>
      </w:r>
      <w:proofErr w:type="gramEnd"/>
    </w:p>
  </w:footnote>
  <w:footnote w:id="8">
    <w:p w14:paraId="4B1F4A9F" w14:textId="60E4B2AB" w:rsidR="00497884" w:rsidRPr="00C866BC" w:rsidRDefault="00497884" w:rsidP="00D17660">
      <w:pPr>
        <w:pStyle w:val="FootnoteText"/>
        <w:jc w:val="both"/>
        <w:rPr>
          <w:rFonts w:asciiTheme="majorHAnsi" w:hAnsiTheme="majorHAnsi"/>
          <w:sz w:val="20"/>
          <w:szCs w:val="20"/>
        </w:rPr>
      </w:pPr>
      <w:r w:rsidRPr="00C866BC">
        <w:rPr>
          <w:rStyle w:val="FootnoteReference"/>
          <w:rFonts w:asciiTheme="majorHAnsi" w:hAnsiTheme="majorHAnsi"/>
          <w:sz w:val="20"/>
          <w:szCs w:val="20"/>
        </w:rPr>
        <w:footnoteRef/>
      </w:r>
      <w:r w:rsidRPr="00C866BC">
        <w:rPr>
          <w:rFonts w:asciiTheme="majorHAnsi" w:hAnsiTheme="majorHAnsi"/>
          <w:sz w:val="20"/>
          <w:szCs w:val="20"/>
        </w:rPr>
        <w:t xml:space="preserve"> Two deaths involving vehicles in 2017, which occurred in the yards of the victims, are not considered traffic fatalities.</w:t>
      </w:r>
      <w:r>
        <w:rPr>
          <w:rFonts w:asciiTheme="majorHAnsi" w:hAnsiTheme="majorHAnsi"/>
          <w:sz w:val="20"/>
          <w:szCs w:val="20"/>
        </w:rPr>
        <w:t xml:space="preserve"> 2016 year-end statistics reported 6 traffic deaths, which was later revised to 7.</w:t>
      </w:r>
    </w:p>
  </w:footnote>
  <w:footnote w:id="9">
    <w:p w14:paraId="3BB4AD63" w14:textId="5B5FEBB2" w:rsidR="00497884" w:rsidRDefault="00497884" w:rsidP="00D17660">
      <w:pPr>
        <w:pStyle w:val="FootnoteText"/>
        <w:jc w:val="both"/>
      </w:pPr>
      <w:r>
        <w:rPr>
          <w:rStyle w:val="FootnoteReference"/>
        </w:rPr>
        <w:footnoteRef/>
      </w:r>
      <w:r>
        <w:t xml:space="preserve"> </w:t>
      </w:r>
      <w:r w:rsidRPr="008219A7">
        <w:rPr>
          <w:rFonts w:asciiTheme="majorHAnsi" w:hAnsiTheme="majorHAnsi"/>
          <w:sz w:val="20"/>
          <w:szCs w:val="20"/>
        </w:rPr>
        <w:t>Section 73</w:t>
      </w:r>
      <w:r>
        <w:rPr>
          <w:rFonts w:asciiTheme="majorHAnsi" w:hAnsiTheme="majorHAnsi"/>
          <w:sz w:val="20"/>
          <w:szCs w:val="20"/>
        </w:rPr>
        <w:t>, subsection 2, of the Traffic Law (2011 Revision).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8CCD" w14:textId="09869A96" w:rsidR="0000535B" w:rsidRDefault="0000535B" w:rsidP="0000535B">
    <w:pPr>
      <w:pStyle w:val="Header"/>
      <w:jc w:val="right"/>
      <w:rPr>
        <w:rFonts w:asciiTheme="majorHAnsi" w:hAnsiTheme="majorHAnsi"/>
        <w:i/>
      </w:rPr>
    </w:pPr>
    <w:r w:rsidRPr="0000535B">
      <w:rPr>
        <w:rFonts w:asciiTheme="majorHAnsi" w:hAnsiTheme="majorHAnsi"/>
        <w:i/>
      </w:rPr>
      <w:t>RCIPS Crime and Traffic Statistics Report 2017</w:t>
    </w:r>
  </w:p>
  <w:p w14:paraId="567D312F" w14:textId="77777777" w:rsidR="00B55D04" w:rsidRPr="0000535B" w:rsidRDefault="00B55D04" w:rsidP="0000535B">
    <w:pPr>
      <w:pStyle w:val="Header"/>
      <w:jc w:val="right"/>
      <w:rPr>
        <w:rFonts w:asciiTheme="majorHAnsi" w:hAnsiTheme="maj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568"/>
    <w:multiLevelType w:val="hybridMultilevel"/>
    <w:tmpl w:val="AB9C28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891463D"/>
    <w:multiLevelType w:val="hybridMultilevel"/>
    <w:tmpl w:val="5E5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E2AD7"/>
    <w:multiLevelType w:val="hybridMultilevel"/>
    <w:tmpl w:val="5E88FE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242049"/>
    <w:multiLevelType w:val="hybridMultilevel"/>
    <w:tmpl w:val="798A2FD4"/>
    <w:lvl w:ilvl="0" w:tplc="22A69460">
      <w:start w:val="1"/>
      <w:numFmt w:val="decimal"/>
      <w:lvlText w:val="%1."/>
      <w:lvlJc w:val="left"/>
      <w:pPr>
        <w:ind w:left="1080" w:hanging="720"/>
      </w:pPr>
      <w:rPr>
        <w:rFonts w:ascii="Calibri" w:eastAsiaTheme="minorEastAsia"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B11219"/>
    <w:multiLevelType w:val="hybridMultilevel"/>
    <w:tmpl w:val="D9AAD23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F6111F6"/>
    <w:multiLevelType w:val="hybridMultilevel"/>
    <w:tmpl w:val="7388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022314"/>
    <w:multiLevelType w:val="hybridMultilevel"/>
    <w:tmpl w:val="2B547EF2"/>
    <w:lvl w:ilvl="0" w:tplc="94B8C71C">
      <w:start w:val="201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03696"/>
    <w:multiLevelType w:val="hybridMultilevel"/>
    <w:tmpl w:val="87E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57EBB"/>
    <w:multiLevelType w:val="multilevel"/>
    <w:tmpl w:val="D4C4F6B6"/>
    <w:lvl w:ilvl="0">
      <w:start w:val="1"/>
      <w:numFmt w:val="decimal"/>
      <w:lvlText w:val="%1."/>
      <w:lvlJc w:val="left"/>
      <w:pPr>
        <w:ind w:left="-720" w:hanging="360"/>
      </w:pPr>
      <w:rPr>
        <w:rFonts w:hint="default"/>
        <w:b/>
      </w:rPr>
    </w:lvl>
    <w:lvl w:ilvl="1">
      <w:start w:val="1"/>
      <w:numFmt w:val="decimal"/>
      <w:isLgl/>
      <w:lvlText w:val="%1.%2"/>
      <w:lvlJc w:val="left"/>
      <w:pPr>
        <w:ind w:left="-660" w:hanging="420"/>
      </w:pPr>
      <w:rPr>
        <w:rFonts w:hint="default"/>
        <w:b/>
      </w:rPr>
    </w:lvl>
    <w:lvl w:ilvl="2">
      <w:start w:val="1"/>
      <w:numFmt w:val="decimal"/>
      <w:isLgl/>
      <w:lvlText w:val="%1.%2.%3"/>
      <w:lvlJc w:val="left"/>
      <w:pPr>
        <w:ind w:left="-360" w:hanging="720"/>
      </w:pPr>
      <w:rPr>
        <w:rFonts w:hint="default"/>
      </w:rPr>
    </w:lvl>
    <w:lvl w:ilvl="3">
      <w:start w:val="1"/>
      <w:numFmt w:val="decimal"/>
      <w:isLgl/>
      <w:lvlText w:val="%1.%2.%3.%4"/>
      <w:lvlJc w:val="left"/>
      <w:pPr>
        <w:ind w:left="0" w:hanging="1080"/>
      </w:pPr>
      <w:rPr>
        <w:rFonts w:hint="default"/>
      </w:rPr>
    </w:lvl>
    <w:lvl w:ilvl="4">
      <w:start w:val="1"/>
      <w:numFmt w:val="decimal"/>
      <w:isLgl/>
      <w:lvlText w:val="%1.%2.%3.%4.%5"/>
      <w:lvlJc w:val="left"/>
      <w:pPr>
        <w:ind w:left="0" w:hanging="1080"/>
      </w:pPr>
      <w:rPr>
        <w:rFonts w:hint="default"/>
      </w:rPr>
    </w:lvl>
    <w:lvl w:ilvl="5">
      <w:start w:val="1"/>
      <w:numFmt w:val="decimal"/>
      <w:isLgl/>
      <w:lvlText w:val="%1.%2.%3.%4.%5.%6"/>
      <w:lvlJc w:val="left"/>
      <w:pPr>
        <w:ind w:left="360" w:hanging="144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720" w:hanging="1800"/>
      </w:pPr>
      <w:rPr>
        <w:rFonts w:hint="default"/>
      </w:rPr>
    </w:lvl>
    <w:lvl w:ilvl="8">
      <w:start w:val="1"/>
      <w:numFmt w:val="decimal"/>
      <w:isLgl/>
      <w:lvlText w:val="%1.%2.%3.%4.%5.%6.%7.%8.%9"/>
      <w:lvlJc w:val="left"/>
      <w:pPr>
        <w:ind w:left="1080" w:hanging="2160"/>
      </w:pPr>
      <w:rPr>
        <w:rFonts w:hint="default"/>
      </w:rPr>
    </w:lvl>
  </w:abstractNum>
  <w:abstractNum w:abstractNumId="9">
    <w:nsid w:val="36DE2DF5"/>
    <w:multiLevelType w:val="hybridMultilevel"/>
    <w:tmpl w:val="956842A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784786"/>
    <w:multiLevelType w:val="hybridMultilevel"/>
    <w:tmpl w:val="39863D6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14651C"/>
    <w:multiLevelType w:val="hybridMultilevel"/>
    <w:tmpl w:val="C5FCDA02"/>
    <w:lvl w:ilvl="0" w:tplc="C1A0C8AA">
      <w:start w:val="2017"/>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61A1C94"/>
    <w:multiLevelType w:val="hybridMultilevel"/>
    <w:tmpl w:val="7C426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DA74EA7"/>
    <w:multiLevelType w:val="hybridMultilevel"/>
    <w:tmpl w:val="9EFA8E46"/>
    <w:lvl w:ilvl="0" w:tplc="A4D64C68">
      <w:start w:val="201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1E6C68"/>
    <w:multiLevelType w:val="hybridMultilevel"/>
    <w:tmpl w:val="5FDC094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7942269A"/>
    <w:multiLevelType w:val="hybridMultilevel"/>
    <w:tmpl w:val="2D9E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94389"/>
    <w:multiLevelType w:val="hybridMultilevel"/>
    <w:tmpl w:val="3A3A398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BF12655"/>
    <w:multiLevelType w:val="hybridMultilevel"/>
    <w:tmpl w:val="80E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905AC"/>
    <w:multiLevelType w:val="hybridMultilevel"/>
    <w:tmpl w:val="47EE05D6"/>
    <w:lvl w:ilvl="0" w:tplc="5EDA3A16">
      <w:start w:val="1"/>
      <w:numFmt w:val="bullet"/>
      <w:lvlText w:val=""/>
      <w:lvlJc w:val="left"/>
      <w:pPr>
        <w:ind w:left="1500" w:hanging="360"/>
      </w:pPr>
      <w:rPr>
        <w:rFonts w:ascii="Wingdings" w:hAnsi="Wingdings" w:hint="default"/>
        <w:sz w:val="22"/>
        <w:szCs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
  </w:num>
  <w:num w:numId="2">
    <w:abstractNumId w:val="10"/>
  </w:num>
  <w:num w:numId="3">
    <w:abstractNumId w:val="17"/>
  </w:num>
  <w:num w:numId="4">
    <w:abstractNumId w:val="15"/>
  </w:num>
  <w:num w:numId="5">
    <w:abstractNumId w:val="5"/>
  </w:num>
  <w:num w:numId="6">
    <w:abstractNumId w:val="7"/>
  </w:num>
  <w:num w:numId="7">
    <w:abstractNumId w:val="0"/>
  </w:num>
  <w:num w:numId="8">
    <w:abstractNumId w:val="14"/>
  </w:num>
  <w:num w:numId="9">
    <w:abstractNumId w:val="2"/>
  </w:num>
  <w:num w:numId="10">
    <w:abstractNumId w:val="4"/>
  </w:num>
  <w:num w:numId="11">
    <w:abstractNumId w:val="8"/>
  </w:num>
  <w:num w:numId="12">
    <w:abstractNumId w:val="16"/>
  </w:num>
  <w:num w:numId="13">
    <w:abstractNumId w:val="9"/>
  </w:num>
  <w:num w:numId="14">
    <w:abstractNumId w:val="18"/>
  </w:num>
  <w:num w:numId="15">
    <w:abstractNumId w:val="3"/>
  </w:num>
  <w:num w:numId="16">
    <w:abstractNumId w:val="6"/>
  </w:num>
  <w:num w:numId="17">
    <w:abstractNumId w:val="13"/>
  </w:num>
  <w:num w:numId="18">
    <w:abstractNumId w:val="12"/>
  </w:num>
  <w:num w:numId="19">
    <w:abstractNumId w:val="11"/>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15"/>
    <w:rsid w:val="0000535B"/>
    <w:rsid w:val="00010B35"/>
    <w:rsid w:val="000112F8"/>
    <w:rsid w:val="000400FC"/>
    <w:rsid w:val="00054F3D"/>
    <w:rsid w:val="00056F31"/>
    <w:rsid w:val="00082588"/>
    <w:rsid w:val="00086868"/>
    <w:rsid w:val="000E4FB4"/>
    <w:rsid w:val="000F6108"/>
    <w:rsid w:val="001061D5"/>
    <w:rsid w:val="0010626E"/>
    <w:rsid w:val="00111690"/>
    <w:rsid w:val="00111910"/>
    <w:rsid w:val="0011726C"/>
    <w:rsid w:val="001176F4"/>
    <w:rsid w:val="001241E9"/>
    <w:rsid w:val="0014244C"/>
    <w:rsid w:val="00180607"/>
    <w:rsid w:val="00181978"/>
    <w:rsid w:val="00181EF3"/>
    <w:rsid w:val="00182F16"/>
    <w:rsid w:val="0018654C"/>
    <w:rsid w:val="001A6B87"/>
    <w:rsid w:val="001B34D7"/>
    <w:rsid w:val="001B4558"/>
    <w:rsid w:val="001B4C41"/>
    <w:rsid w:val="001C23D2"/>
    <w:rsid w:val="001D73C9"/>
    <w:rsid w:val="001E64DA"/>
    <w:rsid w:val="001F7A47"/>
    <w:rsid w:val="0020013F"/>
    <w:rsid w:val="0021054D"/>
    <w:rsid w:val="00216F5A"/>
    <w:rsid w:val="00220B8C"/>
    <w:rsid w:val="00226BCA"/>
    <w:rsid w:val="00242CC3"/>
    <w:rsid w:val="00250BDB"/>
    <w:rsid w:val="00255760"/>
    <w:rsid w:val="00267A5C"/>
    <w:rsid w:val="00277BC9"/>
    <w:rsid w:val="00286CF6"/>
    <w:rsid w:val="002A631D"/>
    <w:rsid w:val="002B2DB2"/>
    <w:rsid w:val="002C32DD"/>
    <w:rsid w:val="002E4B96"/>
    <w:rsid w:val="002E7DC1"/>
    <w:rsid w:val="002F102A"/>
    <w:rsid w:val="002F728B"/>
    <w:rsid w:val="002F7CF3"/>
    <w:rsid w:val="00315CBA"/>
    <w:rsid w:val="00334CBD"/>
    <w:rsid w:val="00347093"/>
    <w:rsid w:val="003501EB"/>
    <w:rsid w:val="00353FE8"/>
    <w:rsid w:val="00354F66"/>
    <w:rsid w:val="003648B6"/>
    <w:rsid w:val="00365D57"/>
    <w:rsid w:val="00381CD0"/>
    <w:rsid w:val="003B524A"/>
    <w:rsid w:val="003E0EDA"/>
    <w:rsid w:val="0040032A"/>
    <w:rsid w:val="00400D4C"/>
    <w:rsid w:val="00401B7E"/>
    <w:rsid w:val="00413CBB"/>
    <w:rsid w:val="0041521E"/>
    <w:rsid w:val="00435AD1"/>
    <w:rsid w:val="00443827"/>
    <w:rsid w:val="00443C05"/>
    <w:rsid w:val="00453BBA"/>
    <w:rsid w:val="00497884"/>
    <w:rsid w:val="004A034A"/>
    <w:rsid w:val="004B7585"/>
    <w:rsid w:val="004C2391"/>
    <w:rsid w:val="004C7B8A"/>
    <w:rsid w:val="004D1D98"/>
    <w:rsid w:val="004D267B"/>
    <w:rsid w:val="004D35C4"/>
    <w:rsid w:val="004D6EFD"/>
    <w:rsid w:val="004E3356"/>
    <w:rsid w:val="005025B0"/>
    <w:rsid w:val="00506D18"/>
    <w:rsid w:val="005221EF"/>
    <w:rsid w:val="005312F3"/>
    <w:rsid w:val="00534A3A"/>
    <w:rsid w:val="00544723"/>
    <w:rsid w:val="0055630C"/>
    <w:rsid w:val="005B0921"/>
    <w:rsid w:val="005B2888"/>
    <w:rsid w:val="005E2B44"/>
    <w:rsid w:val="005E324E"/>
    <w:rsid w:val="005E3B5D"/>
    <w:rsid w:val="005E4526"/>
    <w:rsid w:val="005E58F4"/>
    <w:rsid w:val="005F27C4"/>
    <w:rsid w:val="005F323C"/>
    <w:rsid w:val="005F7635"/>
    <w:rsid w:val="00600F35"/>
    <w:rsid w:val="00601468"/>
    <w:rsid w:val="00601B2D"/>
    <w:rsid w:val="00603E0B"/>
    <w:rsid w:val="00606029"/>
    <w:rsid w:val="00611CE5"/>
    <w:rsid w:val="006211B8"/>
    <w:rsid w:val="00626269"/>
    <w:rsid w:val="00627C88"/>
    <w:rsid w:val="006305DB"/>
    <w:rsid w:val="00632B01"/>
    <w:rsid w:val="00642F5D"/>
    <w:rsid w:val="00645F11"/>
    <w:rsid w:val="00652968"/>
    <w:rsid w:val="006572D4"/>
    <w:rsid w:val="006804F8"/>
    <w:rsid w:val="00682BD4"/>
    <w:rsid w:val="00683A09"/>
    <w:rsid w:val="006859FD"/>
    <w:rsid w:val="006B1B27"/>
    <w:rsid w:val="006B6389"/>
    <w:rsid w:val="006C37AC"/>
    <w:rsid w:val="006C51BA"/>
    <w:rsid w:val="006D169F"/>
    <w:rsid w:val="006D16E4"/>
    <w:rsid w:val="006F7FC9"/>
    <w:rsid w:val="0071489C"/>
    <w:rsid w:val="007150F6"/>
    <w:rsid w:val="00740F59"/>
    <w:rsid w:val="007416E3"/>
    <w:rsid w:val="007735B1"/>
    <w:rsid w:val="00774416"/>
    <w:rsid w:val="00780F63"/>
    <w:rsid w:val="007825AC"/>
    <w:rsid w:val="00784724"/>
    <w:rsid w:val="00797D7E"/>
    <w:rsid w:val="007A573F"/>
    <w:rsid w:val="007B5628"/>
    <w:rsid w:val="007C5ED1"/>
    <w:rsid w:val="007E03A5"/>
    <w:rsid w:val="007F3070"/>
    <w:rsid w:val="007F57FA"/>
    <w:rsid w:val="00815A31"/>
    <w:rsid w:val="00820995"/>
    <w:rsid w:val="008219A7"/>
    <w:rsid w:val="0082384D"/>
    <w:rsid w:val="008535F3"/>
    <w:rsid w:val="008547B3"/>
    <w:rsid w:val="00863053"/>
    <w:rsid w:val="00867FC1"/>
    <w:rsid w:val="0087544E"/>
    <w:rsid w:val="008A3432"/>
    <w:rsid w:val="008A5E84"/>
    <w:rsid w:val="008A75C7"/>
    <w:rsid w:val="008B19AC"/>
    <w:rsid w:val="008B73FC"/>
    <w:rsid w:val="008D4E04"/>
    <w:rsid w:val="008E3F96"/>
    <w:rsid w:val="008E44FA"/>
    <w:rsid w:val="00906067"/>
    <w:rsid w:val="009062FC"/>
    <w:rsid w:val="009246BA"/>
    <w:rsid w:val="00932C82"/>
    <w:rsid w:val="00991343"/>
    <w:rsid w:val="00993EF4"/>
    <w:rsid w:val="009A281F"/>
    <w:rsid w:val="009A30E8"/>
    <w:rsid w:val="009A776D"/>
    <w:rsid w:val="009B1DBD"/>
    <w:rsid w:val="009B30BB"/>
    <w:rsid w:val="009B4462"/>
    <w:rsid w:val="009C7888"/>
    <w:rsid w:val="009D3CFB"/>
    <w:rsid w:val="009E13BC"/>
    <w:rsid w:val="00A018C0"/>
    <w:rsid w:val="00A10BA8"/>
    <w:rsid w:val="00A16FA4"/>
    <w:rsid w:val="00A30B82"/>
    <w:rsid w:val="00A30C49"/>
    <w:rsid w:val="00A41B5F"/>
    <w:rsid w:val="00A51705"/>
    <w:rsid w:val="00A62E0C"/>
    <w:rsid w:val="00A8053F"/>
    <w:rsid w:val="00A841BB"/>
    <w:rsid w:val="00A84FDB"/>
    <w:rsid w:val="00A91F79"/>
    <w:rsid w:val="00A925B8"/>
    <w:rsid w:val="00AB138A"/>
    <w:rsid w:val="00AC16B8"/>
    <w:rsid w:val="00AD02E7"/>
    <w:rsid w:val="00AD7547"/>
    <w:rsid w:val="00AE12B3"/>
    <w:rsid w:val="00AF1804"/>
    <w:rsid w:val="00AF3468"/>
    <w:rsid w:val="00AF675E"/>
    <w:rsid w:val="00AF6B24"/>
    <w:rsid w:val="00B05FF4"/>
    <w:rsid w:val="00B1045E"/>
    <w:rsid w:val="00B468E1"/>
    <w:rsid w:val="00B47FC5"/>
    <w:rsid w:val="00B55AE5"/>
    <w:rsid w:val="00B55D04"/>
    <w:rsid w:val="00B560D8"/>
    <w:rsid w:val="00B5658E"/>
    <w:rsid w:val="00B76B4B"/>
    <w:rsid w:val="00B7754A"/>
    <w:rsid w:val="00B944EE"/>
    <w:rsid w:val="00BA6695"/>
    <w:rsid w:val="00BA773A"/>
    <w:rsid w:val="00BB42B2"/>
    <w:rsid w:val="00BC3C27"/>
    <w:rsid w:val="00BC7EC3"/>
    <w:rsid w:val="00BE7127"/>
    <w:rsid w:val="00C34C55"/>
    <w:rsid w:val="00C41411"/>
    <w:rsid w:val="00C42FCA"/>
    <w:rsid w:val="00C82520"/>
    <w:rsid w:val="00C84288"/>
    <w:rsid w:val="00C866BC"/>
    <w:rsid w:val="00C96B6F"/>
    <w:rsid w:val="00CA2F32"/>
    <w:rsid w:val="00CA5930"/>
    <w:rsid w:val="00CC27FF"/>
    <w:rsid w:val="00CC77D8"/>
    <w:rsid w:val="00D17660"/>
    <w:rsid w:val="00D17887"/>
    <w:rsid w:val="00D44440"/>
    <w:rsid w:val="00D63335"/>
    <w:rsid w:val="00D67E08"/>
    <w:rsid w:val="00D8355E"/>
    <w:rsid w:val="00D85D40"/>
    <w:rsid w:val="00D92FD9"/>
    <w:rsid w:val="00DC6958"/>
    <w:rsid w:val="00DC755D"/>
    <w:rsid w:val="00DD0BE4"/>
    <w:rsid w:val="00DD0F76"/>
    <w:rsid w:val="00DE0FB4"/>
    <w:rsid w:val="00DE36AC"/>
    <w:rsid w:val="00E05B2F"/>
    <w:rsid w:val="00E12FA1"/>
    <w:rsid w:val="00E153CA"/>
    <w:rsid w:val="00E34915"/>
    <w:rsid w:val="00E41556"/>
    <w:rsid w:val="00E6640D"/>
    <w:rsid w:val="00E7207E"/>
    <w:rsid w:val="00E73169"/>
    <w:rsid w:val="00E834DF"/>
    <w:rsid w:val="00E86B1D"/>
    <w:rsid w:val="00EA7ECE"/>
    <w:rsid w:val="00EC4CEB"/>
    <w:rsid w:val="00F156FC"/>
    <w:rsid w:val="00F1691B"/>
    <w:rsid w:val="00F3608B"/>
    <w:rsid w:val="00F551DE"/>
    <w:rsid w:val="00FB443C"/>
    <w:rsid w:val="00FB6349"/>
    <w:rsid w:val="00FD3162"/>
    <w:rsid w:val="00FD34F7"/>
    <w:rsid w:val="00FD73A9"/>
    <w:rsid w:val="00FD7DE8"/>
    <w:rsid w:val="00FF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FC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15"/>
    <w:pPr>
      <w:ind w:left="720"/>
      <w:contextualSpacing/>
    </w:pPr>
  </w:style>
  <w:style w:type="paragraph" w:styleId="FootnoteText">
    <w:name w:val="footnote text"/>
    <w:basedOn w:val="Normal"/>
    <w:link w:val="FootnoteTextChar"/>
    <w:uiPriority w:val="99"/>
    <w:unhideWhenUsed/>
    <w:rsid w:val="00C96B6F"/>
  </w:style>
  <w:style w:type="character" w:customStyle="1" w:styleId="FootnoteTextChar">
    <w:name w:val="Footnote Text Char"/>
    <w:basedOn w:val="DefaultParagraphFont"/>
    <w:link w:val="FootnoteText"/>
    <w:uiPriority w:val="99"/>
    <w:rsid w:val="00C96B6F"/>
  </w:style>
  <w:style w:type="character" w:styleId="FootnoteReference">
    <w:name w:val="footnote reference"/>
    <w:basedOn w:val="DefaultParagraphFont"/>
    <w:uiPriority w:val="99"/>
    <w:unhideWhenUsed/>
    <w:rsid w:val="00C96B6F"/>
    <w:rPr>
      <w:vertAlign w:val="superscript"/>
    </w:rPr>
  </w:style>
  <w:style w:type="paragraph" w:styleId="BalloonText">
    <w:name w:val="Balloon Text"/>
    <w:basedOn w:val="Normal"/>
    <w:link w:val="BalloonTextChar"/>
    <w:uiPriority w:val="99"/>
    <w:semiHidden/>
    <w:unhideWhenUsed/>
    <w:rsid w:val="00B5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0D8"/>
    <w:rPr>
      <w:rFonts w:ascii="Lucida Grande" w:hAnsi="Lucida Grande" w:cs="Lucida Grande"/>
      <w:sz w:val="18"/>
      <w:szCs w:val="18"/>
    </w:rPr>
  </w:style>
  <w:style w:type="paragraph" w:customStyle="1" w:styleId="Content">
    <w:name w:val="Content"/>
    <w:basedOn w:val="Normal"/>
    <w:link w:val="ContentChar"/>
    <w:qFormat/>
    <w:rsid w:val="00B560D8"/>
    <w:pPr>
      <w:framePr w:hSpace="180" w:wrap="around" w:vAnchor="page" w:hAnchor="margin" w:y="3427"/>
    </w:pPr>
    <w:rPr>
      <w:color w:val="000000" w:themeColor="text1"/>
      <w:sz w:val="28"/>
      <w:szCs w:val="22"/>
    </w:rPr>
  </w:style>
  <w:style w:type="character" w:customStyle="1" w:styleId="ContentChar">
    <w:name w:val="Content Char"/>
    <w:basedOn w:val="DefaultParagraphFont"/>
    <w:link w:val="Content"/>
    <w:rsid w:val="00B560D8"/>
    <w:rPr>
      <w:color w:val="000000" w:themeColor="text1"/>
      <w:sz w:val="28"/>
      <w:szCs w:val="22"/>
    </w:rPr>
  </w:style>
  <w:style w:type="table" w:styleId="TableGrid">
    <w:name w:val="Table Grid"/>
    <w:basedOn w:val="TableNormal"/>
    <w:uiPriority w:val="59"/>
    <w:rsid w:val="008209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6B4B"/>
    <w:pPr>
      <w:tabs>
        <w:tab w:val="center" w:pos="4320"/>
        <w:tab w:val="right" w:pos="8640"/>
      </w:tabs>
    </w:pPr>
  </w:style>
  <w:style w:type="character" w:customStyle="1" w:styleId="FooterChar">
    <w:name w:val="Footer Char"/>
    <w:basedOn w:val="DefaultParagraphFont"/>
    <w:link w:val="Footer"/>
    <w:uiPriority w:val="99"/>
    <w:rsid w:val="00B76B4B"/>
  </w:style>
  <w:style w:type="character" w:styleId="PageNumber">
    <w:name w:val="page number"/>
    <w:basedOn w:val="DefaultParagraphFont"/>
    <w:uiPriority w:val="99"/>
    <w:semiHidden/>
    <w:unhideWhenUsed/>
    <w:rsid w:val="00B76B4B"/>
  </w:style>
  <w:style w:type="character" w:styleId="CommentReference">
    <w:name w:val="annotation reference"/>
    <w:basedOn w:val="DefaultParagraphFont"/>
    <w:uiPriority w:val="99"/>
    <w:semiHidden/>
    <w:unhideWhenUsed/>
    <w:rsid w:val="000112F8"/>
    <w:rPr>
      <w:sz w:val="16"/>
      <w:szCs w:val="16"/>
    </w:rPr>
  </w:style>
  <w:style w:type="paragraph" w:styleId="CommentText">
    <w:name w:val="annotation text"/>
    <w:basedOn w:val="Normal"/>
    <w:link w:val="CommentTextChar"/>
    <w:uiPriority w:val="99"/>
    <w:semiHidden/>
    <w:unhideWhenUsed/>
    <w:rsid w:val="000112F8"/>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0112F8"/>
    <w:rPr>
      <w:rFonts w:eastAsiaTheme="minorHAnsi"/>
      <w:sz w:val="20"/>
      <w:szCs w:val="20"/>
    </w:rPr>
  </w:style>
  <w:style w:type="paragraph" w:styleId="Header">
    <w:name w:val="header"/>
    <w:basedOn w:val="Normal"/>
    <w:link w:val="HeaderChar"/>
    <w:uiPriority w:val="99"/>
    <w:unhideWhenUsed/>
    <w:rsid w:val="004C7B8A"/>
    <w:pPr>
      <w:tabs>
        <w:tab w:val="center" w:pos="4513"/>
        <w:tab w:val="right" w:pos="9026"/>
      </w:tabs>
    </w:pPr>
  </w:style>
  <w:style w:type="character" w:customStyle="1" w:styleId="HeaderChar">
    <w:name w:val="Header Char"/>
    <w:basedOn w:val="DefaultParagraphFont"/>
    <w:link w:val="Header"/>
    <w:uiPriority w:val="99"/>
    <w:rsid w:val="004C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15"/>
    <w:pPr>
      <w:ind w:left="720"/>
      <w:contextualSpacing/>
    </w:pPr>
  </w:style>
  <w:style w:type="paragraph" w:styleId="FootnoteText">
    <w:name w:val="footnote text"/>
    <w:basedOn w:val="Normal"/>
    <w:link w:val="FootnoteTextChar"/>
    <w:uiPriority w:val="99"/>
    <w:unhideWhenUsed/>
    <w:rsid w:val="00C96B6F"/>
  </w:style>
  <w:style w:type="character" w:customStyle="1" w:styleId="FootnoteTextChar">
    <w:name w:val="Footnote Text Char"/>
    <w:basedOn w:val="DefaultParagraphFont"/>
    <w:link w:val="FootnoteText"/>
    <w:uiPriority w:val="99"/>
    <w:rsid w:val="00C96B6F"/>
  </w:style>
  <w:style w:type="character" w:styleId="FootnoteReference">
    <w:name w:val="footnote reference"/>
    <w:basedOn w:val="DefaultParagraphFont"/>
    <w:uiPriority w:val="99"/>
    <w:unhideWhenUsed/>
    <w:rsid w:val="00C96B6F"/>
    <w:rPr>
      <w:vertAlign w:val="superscript"/>
    </w:rPr>
  </w:style>
  <w:style w:type="paragraph" w:styleId="BalloonText">
    <w:name w:val="Balloon Text"/>
    <w:basedOn w:val="Normal"/>
    <w:link w:val="BalloonTextChar"/>
    <w:uiPriority w:val="99"/>
    <w:semiHidden/>
    <w:unhideWhenUsed/>
    <w:rsid w:val="00B5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0D8"/>
    <w:rPr>
      <w:rFonts w:ascii="Lucida Grande" w:hAnsi="Lucida Grande" w:cs="Lucida Grande"/>
      <w:sz w:val="18"/>
      <w:szCs w:val="18"/>
    </w:rPr>
  </w:style>
  <w:style w:type="paragraph" w:customStyle="1" w:styleId="Content">
    <w:name w:val="Content"/>
    <w:basedOn w:val="Normal"/>
    <w:link w:val="ContentChar"/>
    <w:qFormat/>
    <w:rsid w:val="00B560D8"/>
    <w:pPr>
      <w:framePr w:hSpace="180" w:wrap="around" w:vAnchor="page" w:hAnchor="margin" w:y="3427"/>
    </w:pPr>
    <w:rPr>
      <w:color w:val="000000" w:themeColor="text1"/>
      <w:sz w:val="28"/>
      <w:szCs w:val="22"/>
    </w:rPr>
  </w:style>
  <w:style w:type="character" w:customStyle="1" w:styleId="ContentChar">
    <w:name w:val="Content Char"/>
    <w:basedOn w:val="DefaultParagraphFont"/>
    <w:link w:val="Content"/>
    <w:rsid w:val="00B560D8"/>
    <w:rPr>
      <w:color w:val="000000" w:themeColor="text1"/>
      <w:sz w:val="28"/>
      <w:szCs w:val="22"/>
    </w:rPr>
  </w:style>
  <w:style w:type="table" w:styleId="TableGrid">
    <w:name w:val="Table Grid"/>
    <w:basedOn w:val="TableNormal"/>
    <w:uiPriority w:val="59"/>
    <w:rsid w:val="008209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6B4B"/>
    <w:pPr>
      <w:tabs>
        <w:tab w:val="center" w:pos="4320"/>
        <w:tab w:val="right" w:pos="8640"/>
      </w:tabs>
    </w:pPr>
  </w:style>
  <w:style w:type="character" w:customStyle="1" w:styleId="FooterChar">
    <w:name w:val="Footer Char"/>
    <w:basedOn w:val="DefaultParagraphFont"/>
    <w:link w:val="Footer"/>
    <w:uiPriority w:val="99"/>
    <w:rsid w:val="00B76B4B"/>
  </w:style>
  <w:style w:type="character" w:styleId="PageNumber">
    <w:name w:val="page number"/>
    <w:basedOn w:val="DefaultParagraphFont"/>
    <w:uiPriority w:val="99"/>
    <w:semiHidden/>
    <w:unhideWhenUsed/>
    <w:rsid w:val="00B76B4B"/>
  </w:style>
  <w:style w:type="character" w:styleId="CommentReference">
    <w:name w:val="annotation reference"/>
    <w:basedOn w:val="DefaultParagraphFont"/>
    <w:uiPriority w:val="99"/>
    <w:semiHidden/>
    <w:unhideWhenUsed/>
    <w:rsid w:val="000112F8"/>
    <w:rPr>
      <w:sz w:val="16"/>
      <w:szCs w:val="16"/>
    </w:rPr>
  </w:style>
  <w:style w:type="paragraph" w:styleId="CommentText">
    <w:name w:val="annotation text"/>
    <w:basedOn w:val="Normal"/>
    <w:link w:val="CommentTextChar"/>
    <w:uiPriority w:val="99"/>
    <w:semiHidden/>
    <w:unhideWhenUsed/>
    <w:rsid w:val="000112F8"/>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0112F8"/>
    <w:rPr>
      <w:rFonts w:eastAsiaTheme="minorHAnsi"/>
      <w:sz w:val="20"/>
      <w:szCs w:val="20"/>
    </w:rPr>
  </w:style>
  <w:style w:type="paragraph" w:styleId="Header">
    <w:name w:val="header"/>
    <w:basedOn w:val="Normal"/>
    <w:link w:val="HeaderChar"/>
    <w:uiPriority w:val="99"/>
    <w:unhideWhenUsed/>
    <w:rsid w:val="004C7B8A"/>
    <w:pPr>
      <w:tabs>
        <w:tab w:val="center" w:pos="4513"/>
        <w:tab w:val="right" w:pos="9026"/>
      </w:tabs>
    </w:pPr>
  </w:style>
  <w:style w:type="character" w:customStyle="1" w:styleId="HeaderChar">
    <w:name w:val="Header Char"/>
    <w:basedOn w:val="DefaultParagraphFont"/>
    <w:link w:val="Header"/>
    <w:uiPriority w:val="99"/>
    <w:rsid w:val="004C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0392">
      <w:bodyDiv w:val="1"/>
      <w:marLeft w:val="0"/>
      <w:marRight w:val="0"/>
      <w:marTop w:val="0"/>
      <w:marBottom w:val="0"/>
      <w:divBdr>
        <w:top w:val="none" w:sz="0" w:space="0" w:color="auto"/>
        <w:left w:val="none" w:sz="0" w:space="0" w:color="auto"/>
        <w:bottom w:val="none" w:sz="0" w:space="0" w:color="auto"/>
        <w:right w:val="none" w:sz="0" w:space="0" w:color="auto"/>
      </w:divBdr>
    </w:div>
    <w:div w:id="704596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G:\Crime%20Desk\Stats\End%20of%202017\Completed%20Stats%202017\End%20of%202017%20new%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pwpolfs02\PCUserShares\Denise_PC\Crime%20Desk\Stats\End%20of%202017\End%20of%202017\Crime%20New%20Data\End%20of%202017%20new%20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pwpolfs02\PCUserShares\All%20Training%20Unit%20Users\KevinA_PC\FSU%20Files\FSU%20Stats\FSU%20Stats%20spreadsheet%20v.01%20May%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CALLS FOR SERVICE (2015 - 2017)</a:t>
            </a:r>
          </a:p>
        </c:rich>
      </c:tx>
      <c:overlay val="0"/>
    </c:title>
    <c:autoTitleDeleted val="0"/>
    <c:plotArea>
      <c:layout/>
      <c:barChart>
        <c:barDir val="col"/>
        <c:grouping val="clustered"/>
        <c:varyColors val="0"/>
        <c:ser>
          <c:idx val="0"/>
          <c:order val="0"/>
          <c:tx>
            <c:strRef>
              <c:f>Sheet1!$B$2</c:f>
              <c:strCache>
                <c:ptCount val="1"/>
                <c:pt idx="0">
                  <c:v>2015</c:v>
                </c:pt>
              </c:strCache>
            </c:strRef>
          </c:tx>
          <c:invertIfNegative val="0"/>
          <c:cat>
            <c:strRef>
              <c:f>Sheet1!$A$3:$A$6</c:f>
              <c:strCache>
                <c:ptCount val="4"/>
                <c:pt idx="0">
                  <c:v>Q1</c:v>
                </c:pt>
                <c:pt idx="1">
                  <c:v>Q2</c:v>
                </c:pt>
                <c:pt idx="2">
                  <c:v>Q3</c:v>
                </c:pt>
                <c:pt idx="3">
                  <c:v>Q4</c:v>
                </c:pt>
              </c:strCache>
            </c:strRef>
          </c:cat>
          <c:val>
            <c:numRef>
              <c:f>Sheet1!$B$3:$B$6</c:f>
              <c:numCache>
                <c:formatCode>General</c:formatCode>
                <c:ptCount val="4"/>
                <c:pt idx="0">
                  <c:v>8866</c:v>
                </c:pt>
                <c:pt idx="1">
                  <c:v>8301</c:v>
                </c:pt>
                <c:pt idx="2">
                  <c:v>8254</c:v>
                </c:pt>
                <c:pt idx="3">
                  <c:v>8053</c:v>
                </c:pt>
              </c:numCache>
            </c:numRef>
          </c:val>
        </c:ser>
        <c:ser>
          <c:idx val="1"/>
          <c:order val="1"/>
          <c:tx>
            <c:strRef>
              <c:f>Sheet1!$C$2</c:f>
              <c:strCache>
                <c:ptCount val="1"/>
                <c:pt idx="0">
                  <c:v>2016</c:v>
                </c:pt>
              </c:strCache>
            </c:strRef>
          </c:tx>
          <c:invertIfNegative val="0"/>
          <c:cat>
            <c:strRef>
              <c:f>Sheet1!$A$3:$A$6</c:f>
              <c:strCache>
                <c:ptCount val="4"/>
                <c:pt idx="0">
                  <c:v>Q1</c:v>
                </c:pt>
                <c:pt idx="1">
                  <c:v>Q2</c:v>
                </c:pt>
                <c:pt idx="2">
                  <c:v>Q3</c:v>
                </c:pt>
                <c:pt idx="3">
                  <c:v>Q4</c:v>
                </c:pt>
              </c:strCache>
            </c:strRef>
          </c:cat>
          <c:val>
            <c:numRef>
              <c:f>Sheet1!$C$3:$C$6</c:f>
              <c:numCache>
                <c:formatCode>General</c:formatCode>
                <c:ptCount val="4"/>
                <c:pt idx="0">
                  <c:v>8508</c:v>
                </c:pt>
                <c:pt idx="1">
                  <c:v>8131</c:v>
                </c:pt>
                <c:pt idx="2">
                  <c:v>8970</c:v>
                </c:pt>
                <c:pt idx="3">
                  <c:v>8911</c:v>
                </c:pt>
              </c:numCache>
            </c:numRef>
          </c:val>
        </c:ser>
        <c:ser>
          <c:idx val="2"/>
          <c:order val="2"/>
          <c:tx>
            <c:strRef>
              <c:f>Sheet1!$D$2</c:f>
              <c:strCache>
                <c:ptCount val="1"/>
                <c:pt idx="0">
                  <c:v>2017</c:v>
                </c:pt>
              </c:strCache>
            </c:strRef>
          </c:tx>
          <c:invertIfNegative val="0"/>
          <c:cat>
            <c:strRef>
              <c:f>Sheet1!$A$3:$A$6</c:f>
              <c:strCache>
                <c:ptCount val="4"/>
                <c:pt idx="0">
                  <c:v>Q1</c:v>
                </c:pt>
                <c:pt idx="1">
                  <c:v>Q2</c:v>
                </c:pt>
                <c:pt idx="2">
                  <c:v>Q3</c:v>
                </c:pt>
                <c:pt idx="3">
                  <c:v>Q4</c:v>
                </c:pt>
              </c:strCache>
            </c:strRef>
          </c:cat>
          <c:val>
            <c:numRef>
              <c:f>Sheet1!$D$3:$D$6</c:f>
              <c:numCache>
                <c:formatCode>General</c:formatCode>
                <c:ptCount val="4"/>
                <c:pt idx="0">
                  <c:v>7688</c:v>
                </c:pt>
                <c:pt idx="1">
                  <c:v>7229</c:v>
                </c:pt>
                <c:pt idx="2">
                  <c:v>8104</c:v>
                </c:pt>
                <c:pt idx="3">
                  <c:v>8664</c:v>
                </c:pt>
              </c:numCache>
            </c:numRef>
          </c:val>
        </c:ser>
        <c:dLbls>
          <c:showLegendKey val="0"/>
          <c:showVal val="0"/>
          <c:showCatName val="0"/>
          <c:showSerName val="0"/>
          <c:showPercent val="0"/>
          <c:showBubbleSize val="0"/>
        </c:dLbls>
        <c:gapWidth val="150"/>
        <c:axId val="130133376"/>
        <c:axId val="136815744"/>
      </c:barChart>
      <c:catAx>
        <c:axId val="130133376"/>
        <c:scaling>
          <c:orientation val="minMax"/>
        </c:scaling>
        <c:delete val="0"/>
        <c:axPos val="b"/>
        <c:majorTickMark val="none"/>
        <c:minorTickMark val="none"/>
        <c:tickLblPos val="nextTo"/>
        <c:crossAx val="136815744"/>
        <c:crosses val="autoZero"/>
        <c:auto val="1"/>
        <c:lblAlgn val="ctr"/>
        <c:lblOffset val="100"/>
        <c:noMultiLvlLbl val="0"/>
      </c:catAx>
      <c:valAx>
        <c:axId val="136815744"/>
        <c:scaling>
          <c:orientation val="minMax"/>
        </c:scaling>
        <c:delete val="0"/>
        <c:axPos val="l"/>
        <c:majorGridlines/>
        <c:numFmt formatCode="General" sourceLinked="1"/>
        <c:majorTickMark val="none"/>
        <c:minorTickMark val="none"/>
        <c:tickLblPos val="nextTo"/>
        <c:crossAx val="130133376"/>
        <c:crosses val="autoZero"/>
        <c:crossBetween val="between"/>
      </c:valAx>
      <c:dTable>
        <c:showHorzBorder val="1"/>
        <c:showVertBorder val="1"/>
        <c:showOutline val="1"/>
        <c:showKeys val="1"/>
      </c:dTable>
    </c:plotArea>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mj-lt"/>
              </a:rPr>
              <a:t>Burglary &amp; Attempted Burglary       </a:t>
            </a:r>
          </a:p>
          <a:p>
            <a:pPr>
              <a:defRPr/>
            </a:pPr>
            <a:r>
              <a:rPr lang="en-US" sz="1400">
                <a:latin typeface="+mj-lt"/>
              </a:rPr>
              <a:t>5</a:t>
            </a:r>
            <a:r>
              <a:rPr lang="en-US" sz="1400" baseline="0">
                <a:latin typeface="+mj-lt"/>
              </a:rPr>
              <a:t> Year Comparison (2013-2017)</a:t>
            </a:r>
            <a:r>
              <a:rPr lang="en-US" sz="1400">
                <a:latin typeface="+mj-lt"/>
              </a:rPr>
              <a:t> </a:t>
            </a:r>
          </a:p>
        </c:rich>
      </c:tx>
      <c:overlay val="0"/>
    </c:title>
    <c:autoTitleDeleted val="0"/>
    <c:plotArea>
      <c:layout/>
      <c:barChart>
        <c:barDir val="col"/>
        <c:grouping val="clustered"/>
        <c:varyColors val="0"/>
        <c:ser>
          <c:idx val="0"/>
          <c:order val="0"/>
          <c:tx>
            <c:strRef>
              <c:f>Sheet1!$B$2</c:f>
              <c:strCache>
                <c:ptCount val="1"/>
                <c:pt idx="0">
                  <c:v>Burglary</c:v>
                </c:pt>
              </c:strCache>
            </c:strRef>
          </c:tx>
          <c:invertIfNegative val="0"/>
          <c:dLbls>
            <c:txPr>
              <a:bodyPr/>
              <a:lstStyle/>
              <a:p>
                <a:pPr>
                  <a:defRPr b="1" i="0" baseline="0"/>
                </a:pPr>
                <a:endParaRPr lang="en-US"/>
              </a:p>
            </c:txPr>
            <c:dLblPos val="outEnd"/>
            <c:showLegendKey val="0"/>
            <c:showVal val="1"/>
            <c:showCatName val="0"/>
            <c:showSerName val="0"/>
            <c:showPercent val="0"/>
            <c:showBubbleSize val="0"/>
            <c:showLeaderLines val="0"/>
          </c:dLbls>
          <c:cat>
            <c:numRef>
              <c:f>Sheet1!$A$3:$A$7</c:f>
              <c:numCache>
                <c:formatCode>General</c:formatCode>
                <c:ptCount val="5"/>
                <c:pt idx="0">
                  <c:v>2013</c:v>
                </c:pt>
                <c:pt idx="1">
                  <c:v>2014</c:v>
                </c:pt>
                <c:pt idx="2">
                  <c:v>2015</c:v>
                </c:pt>
                <c:pt idx="3">
                  <c:v>2016</c:v>
                </c:pt>
                <c:pt idx="4">
                  <c:v>2017</c:v>
                </c:pt>
              </c:numCache>
            </c:numRef>
          </c:cat>
          <c:val>
            <c:numRef>
              <c:f>Sheet1!$B$3:$B$7</c:f>
              <c:numCache>
                <c:formatCode>General</c:formatCode>
                <c:ptCount val="5"/>
                <c:pt idx="0">
                  <c:v>687</c:v>
                </c:pt>
                <c:pt idx="1">
                  <c:v>699</c:v>
                </c:pt>
                <c:pt idx="2">
                  <c:v>652</c:v>
                </c:pt>
                <c:pt idx="3">
                  <c:v>439</c:v>
                </c:pt>
                <c:pt idx="4">
                  <c:v>515</c:v>
                </c:pt>
              </c:numCache>
            </c:numRef>
          </c:val>
        </c:ser>
        <c:ser>
          <c:idx val="1"/>
          <c:order val="1"/>
          <c:tx>
            <c:strRef>
              <c:f>Sheet1!$C$2</c:f>
              <c:strCache>
                <c:ptCount val="1"/>
                <c:pt idx="0">
                  <c:v>Attempted Burglary</c:v>
                </c:pt>
              </c:strCache>
            </c:strRef>
          </c:tx>
          <c:invertIfNegative val="0"/>
          <c:dLbls>
            <c:dLbl>
              <c:idx val="1"/>
              <c:layout>
                <c:manualLayout>
                  <c:x val="8.3333333333333332E-3"/>
                  <c:y val="0"/>
                </c:manualLayout>
              </c:layout>
              <c:dLblPos val="outEnd"/>
              <c:showLegendKey val="0"/>
              <c:showVal val="1"/>
              <c:showCatName val="0"/>
              <c:showSerName val="0"/>
              <c:showPercent val="0"/>
              <c:showBubbleSize val="0"/>
            </c:dLbl>
            <c:dLbl>
              <c:idx val="2"/>
              <c:layout>
                <c:manualLayout>
                  <c:x val="1.1111111111111112E-2"/>
                  <c:y val="0"/>
                </c:manualLayout>
              </c:layout>
              <c:dLblPos val="outEnd"/>
              <c:showLegendKey val="0"/>
              <c:showVal val="1"/>
              <c:showCatName val="0"/>
              <c:showSerName val="0"/>
              <c:showPercent val="0"/>
              <c:showBubbleSize val="0"/>
            </c:dLbl>
            <c:dLbl>
              <c:idx val="3"/>
              <c:layout>
                <c:manualLayout>
                  <c:x val="8.3333333333333332E-3"/>
                  <c:y val="0"/>
                </c:manualLayout>
              </c:layout>
              <c:dLblPos val="outEnd"/>
              <c:showLegendKey val="0"/>
              <c:showVal val="1"/>
              <c:showCatName val="0"/>
              <c:showSerName val="0"/>
              <c:showPercent val="0"/>
              <c:showBubbleSize val="0"/>
            </c:dLbl>
            <c:dLbl>
              <c:idx val="4"/>
              <c:layout>
                <c:manualLayout>
                  <c:x val="5.5555555555555558E-3"/>
                  <c:y val="3.8095226668098487E-3"/>
                </c:manualLayout>
              </c:layout>
              <c:dLblPos val="outEnd"/>
              <c:showLegendKey val="0"/>
              <c:showVal val="1"/>
              <c:showCatName val="0"/>
              <c:showSerName val="0"/>
              <c:showPercent val="0"/>
              <c:showBubbleSize val="0"/>
            </c:dLbl>
            <c:txPr>
              <a:bodyPr/>
              <a:lstStyle/>
              <a:p>
                <a:pPr>
                  <a:defRPr b="1" i="0" baseline="0"/>
                </a:pPr>
                <a:endParaRPr lang="en-US"/>
              </a:p>
            </c:txPr>
            <c:dLblPos val="outEnd"/>
            <c:showLegendKey val="0"/>
            <c:showVal val="1"/>
            <c:showCatName val="0"/>
            <c:showSerName val="0"/>
            <c:showPercent val="0"/>
            <c:showBubbleSize val="0"/>
            <c:showLeaderLines val="0"/>
          </c:dLbls>
          <c:cat>
            <c:numRef>
              <c:f>Sheet1!$A$3:$A$7</c:f>
              <c:numCache>
                <c:formatCode>General</c:formatCode>
                <c:ptCount val="5"/>
                <c:pt idx="0">
                  <c:v>2013</c:v>
                </c:pt>
                <c:pt idx="1">
                  <c:v>2014</c:v>
                </c:pt>
                <c:pt idx="2">
                  <c:v>2015</c:v>
                </c:pt>
                <c:pt idx="3">
                  <c:v>2016</c:v>
                </c:pt>
                <c:pt idx="4">
                  <c:v>2017</c:v>
                </c:pt>
              </c:numCache>
            </c:numRef>
          </c:cat>
          <c:val>
            <c:numRef>
              <c:f>Sheet1!$C$3:$C$7</c:f>
              <c:numCache>
                <c:formatCode>General</c:formatCode>
                <c:ptCount val="5"/>
                <c:pt idx="0">
                  <c:v>38</c:v>
                </c:pt>
                <c:pt idx="1">
                  <c:v>77</c:v>
                </c:pt>
                <c:pt idx="2">
                  <c:v>110</c:v>
                </c:pt>
                <c:pt idx="3">
                  <c:v>62</c:v>
                </c:pt>
                <c:pt idx="4">
                  <c:v>81</c:v>
                </c:pt>
              </c:numCache>
            </c:numRef>
          </c:val>
        </c:ser>
        <c:dLbls>
          <c:dLblPos val="outEnd"/>
          <c:showLegendKey val="0"/>
          <c:showVal val="1"/>
          <c:showCatName val="0"/>
          <c:showSerName val="0"/>
          <c:showPercent val="0"/>
          <c:showBubbleSize val="0"/>
        </c:dLbls>
        <c:gapWidth val="150"/>
        <c:axId val="169499648"/>
        <c:axId val="169543168"/>
      </c:barChart>
      <c:catAx>
        <c:axId val="169499648"/>
        <c:scaling>
          <c:orientation val="minMax"/>
        </c:scaling>
        <c:delete val="0"/>
        <c:axPos val="b"/>
        <c:minorGridlines>
          <c:spPr>
            <a:ln>
              <a:solidFill>
                <a:schemeClr val="accent1"/>
              </a:solidFill>
            </a:ln>
          </c:spPr>
        </c:minorGridlines>
        <c:title>
          <c:tx>
            <c:rich>
              <a:bodyPr/>
              <a:lstStyle/>
              <a:p>
                <a:pPr>
                  <a:defRPr sz="1100" baseline="0">
                    <a:solidFill>
                      <a:sysClr val="windowText" lastClr="000000"/>
                    </a:solidFill>
                  </a:defRPr>
                </a:pPr>
                <a:r>
                  <a:rPr lang="en-US" sz="1100" baseline="0">
                    <a:solidFill>
                      <a:sysClr val="windowText" lastClr="000000"/>
                    </a:solidFill>
                  </a:rPr>
                  <a:t>YEAR</a:t>
                </a:r>
              </a:p>
            </c:rich>
          </c:tx>
          <c:layout>
            <c:manualLayout>
              <c:xMode val="edge"/>
              <c:yMode val="edge"/>
              <c:x val="0.34241097987751529"/>
              <c:y val="0.92979049725069451"/>
            </c:manualLayout>
          </c:layout>
          <c:overlay val="0"/>
        </c:title>
        <c:numFmt formatCode="General" sourceLinked="1"/>
        <c:majorTickMark val="out"/>
        <c:minorTickMark val="none"/>
        <c:tickLblPos val="nextTo"/>
        <c:txPr>
          <a:bodyPr/>
          <a:lstStyle/>
          <a:p>
            <a:pPr>
              <a:defRPr b="0" i="0" baseline="0"/>
            </a:pPr>
            <a:endParaRPr lang="en-US"/>
          </a:p>
        </c:txPr>
        <c:crossAx val="169543168"/>
        <c:crosses val="autoZero"/>
        <c:auto val="0"/>
        <c:lblAlgn val="ctr"/>
        <c:lblOffset val="100"/>
        <c:noMultiLvlLbl val="0"/>
      </c:catAx>
      <c:valAx>
        <c:axId val="169543168"/>
        <c:scaling>
          <c:orientation val="minMax"/>
        </c:scaling>
        <c:delete val="0"/>
        <c:axPos val="l"/>
        <c:majorGridlines/>
        <c:numFmt formatCode="General" sourceLinked="1"/>
        <c:majorTickMark val="none"/>
        <c:minorTickMark val="out"/>
        <c:tickLblPos val="nextTo"/>
        <c:crossAx val="169499648"/>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55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836317248053"/>
          <c:y val="2.8057561770295999E-2"/>
          <c:w val="0.88316368275194601"/>
          <c:h val="0.83377391619151098"/>
        </c:manualLayout>
      </c:layout>
      <c:barChart>
        <c:barDir val="col"/>
        <c:grouping val="clustered"/>
        <c:varyColors val="0"/>
        <c:ser>
          <c:idx val="0"/>
          <c:order val="0"/>
          <c:spPr>
            <a:solidFill>
              <a:schemeClr val="accent2"/>
            </a:solidFill>
          </c:spPr>
          <c:invertIfNegative val="0"/>
          <c:dPt>
            <c:idx val="0"/>
            <c:invertIfNegative val="0"/>
            <c:bubble3D val="0"/>
          </c:dPt>
          <c:dPt>
            <c:idx val="1"/>
            <c:invertIfNegative val="0"/>
            <c:bubble3D val="0"/>
            <c:spPr>
              <a:solidFill>
                <a:schemeClr val="accent2"/>
              </a:solidFill>
            </c:spPr>
          </c:dPt>
          <c:dPt>
            <c:idx val="2"/>
            <c:invertIfNegative val="0"/>
            <c:bubble3D val="0"/>
            <c:spPr>
              <a:solidFill>
                <a:schemeClr val="accent2"/>
              </a:solidFill>
            </c:spPr>
          </c:dPt>
          <c:dLbls>
            <c:showLegendKey val="0"/>
            <c:showVal val="1"/>
            <c:showCatName val="0"/>
            <c:showSerName val="0"/>
            <c:showPercent val="0"/>
            <c:showBubbleSize val="0"/>
            <c:showLeaderLines val="0"/>
          </c:dLbls>
          <c:cat>
            <c:numRef>
              <c:f>'2017 CRU Stats'!$Q$19:$Q$21</c:f>
              <c:numCache>
                <c:formatCode>General</c:formatCode>
                <c:ptCount val="3"/>
                <c:pt idx="0">
                  <c:v>2015</c:v>
                </c:pt>
                <c:pt idx="1">
                  <c:v>2016</c:v>
                </c:pt>
                <c:pt idx="2">
                  <c:v>2017</c:v>
                </c:pt>
              </c:numCache>
            </c:numRef>
          </c:cat>
          <c:val>
            <c:numRef>
              <c:f>'2017 CRU Stats'!$R$19:$R$21</c:f>
              <c:numCache>
                <c:formatCode>General</c:formatCode>
                <c:ptCount val="3"/>
                <c:pt idx="0">
                  <c:v>451</c:v>
                </c:pt>
                <c:pt idx="1">
                  <c:v>742</c:v>
                </c:pt>
                <c:pt idx="2">
                  <c:v>990</c:v>
                </c:pt>
              </c:numCache>
            </c:numRef>
          </c:val>
        </c:ser>
        <c:ser>
          <c:idx val="1"/>
          <c:order val="1"/>
          <c:spPr>
            <a:solidFill>
              <a:schemeClr val="accent4"/>
            </a:solidFill>
          </c:spPr>
          <c:invertIfNegative val="0"/>
          <c:dPt>
            <c:idx val="0"/>
            <c:invertIfNegative val="0"/>
            <c:bubble3D val="0"/>
          </c:dPt>
          <c:dPt>
            <c:idx val="1"/>
            <c:invertIfNegative val="0"/>
            <c:bubble3D val="0"/>
          </c:dPt>
          <c:dPt>
            <c:idx val="2"/>
            <c:invertIfNegative val="0"/>
            <c:bubble3D val="0"/>
          </c:dPt>
          <c:dLbls>
            <c:showLegendKey val="0"/>
            <c:showVal val="1"/>
            <c:showCatName val="0"/>
            <c:showSerName val="0"/>
            <c:showPercent val="0"/>
            <c:showBubbleSize val="0"/>
            <c:showLeaderLines val="0"/>
          </c:dLbls>
          <c:cat>
            <c:numRef>
              <c:f>'2017 CRU Stats'!$Q$19:$Q$21</c:f>
              <c:numCache>
                <c:formatCode>General</c:formatCode>
                <c:ptCount val="3"/>
                <c:pt idx="0">
                  <c:v>2015</c:v>
                </c:pt>
                <c:pt idx="1">
                  <c:v>2016</c:v>
                </c:pt>
                <c:pt idx="2">
                  <c:v>2017</c:v>
                </c:pt>
              </c:numCache>
            </c:numRef>
          </c:cat>
          <c:val>
            <c:numRef>
              <c:f>'2017 CRU Stats'!$S$19:$S$21</c:f>
              <c:numCache>
                <c:formatCode>General</c:formatCode>
                <c:ptCount val="3"/>
                <c:pt idx="0">
                  <c:v>225</c:v>
                </c:pt>
                <c:pt idx="1">
                  <c:v>273</c:v>
                </c:pt>
                <c:pt idx="2">
                  <c:v>491</c:v>
                </c:pt>
              </c:numCache>
            </c:numRef>
          </c:val>
        </c:ser>
        <c:dLbls>
          <c:showLegendKey val="0"/>
          <c:showVal val="0"/>
          <c:showCatName val="0"/>
          <c:showSerName val="0"/>
          <c:showPercent val="0"/>
          <c:showBubbleSize val="0"/>
        </c:dLbls>
        <c:gapWidth val="150"/>
        <c:axId val="173144320"/>
        <c:axId val="173949312"/>
      </c:barChart>
      <c:catAx>
        <c:axId val="173144320"/>
        <c:scaling>
          <c:orientation val="minMax"/>
        </c:scaling>
        <c:delete val="0"/>
        <c:axPos val="b"/>
        <c:numFmt formatCode="General" sourceLinked="1"/>
        <c:majorTickMark val="out"/>
        <c:minorTickMark val="none"/>
        <c:tickLblPos val="nextTo"/>
        <c:crossAx val="173949312"/>
        <c:crosses val="autoZero"/>
        <c:auto val="1"/>
        <c:lblAlgn val="ctr"/>
        <c:lblOffset val="100"/>
        <c:noMultiLvlLbl val="0"/>
      </c:catAx>
      <c:valAx>
        <c:axId val="173949312"/>
        <c:scaling>
          <c:orientation val="minMax"/>
        </c:scaling>
        <c:delete val="0"/>
        <c:axPos val="l"/>
        <c:majorGridlines/>
        <c:numFmt formatCode="General" sourceLinked="1"/>
        <c:majorTickMark val="out"/>
        <c:minorTickMark val="none"/>
        <c:tickLblPos val="nextTo"/>
        <c:crossAx val="1731443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213B-C630-4DF1-8989-15B1AFE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Carpenter</dc:creator>
  <cp:lastModifiedBy>Administrator</cp:lastModifiedBy>
  <cp:revision>6</cp:revision>
  <cp:lastPrinted>2018-04-19T23:05:00Z</cp:lastPrinted>
  <dcterms:created xsi:type="dcterms:W3CDTF">2018-04-20T00:36:00Z</dcterms:created>
  <dcterms:modified xsi:type="dcterms:W3CDTF">2018-04-20T00:42:00Z</dcterms:modified>
</cp:coreProperties>
</file>