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87" w:rsidRDefault="00162D87" w:rsidP="00162D87">
      <w:pPr>
        <w:jc w:val="center"/>
        <w:rPr>
          <w:rFonts w:ascii="Gill Sans MT" w:hAnsi="Gill Sans MT"/>
          <w:b/>
          <w:sz w:val="32"/>
        </w:rPr>
      </w:pPr>
      <w:bookmarkStart w:id="0" w:name="_GoBack"/>
      <w:bookmarkEnd w:id="0"/>
      <w:r w:rsidRPr="00162D87">
        <w:rPr>
          <w:rFonts w:ascii="Gill Sans MT" w:hAnsi="Gill Sans MT"/>
          <w:b/>
          <w:sz w:val="32"/>
        </w:rPr>
        <w:t>GOVERNMENT SECONDARY SCHOOLS SUMMARY REPORT</w:t>
      </w:r>
      <w:r>
        <w:rPr>
          <w:rFonts w:ascii="Gill Sans MT" w:hAnsi="Gill Sans MT"/>
          <w:b/>
          <w:sz w:val="32"/>
        </w:rPr>
        <w:t xml:space="preserve"> </w:t>
      </w:r>
    </w:p>
    <w:p w:rsidR="00BB20A4" w:rsidRDefault="00BB20A4" w:rsidP="00162D87">
      <w:pPr>
        <w:jc w:val="center"/>
        <w:rPr>
          <w:rFonts w:ascii="Gill Sans MT" w:hAnsi="Gill Sans MT"/>
          <w:b/>
          <w:sz w:val="32"/>
        </w:rPr>
      </w:pPr>
      <w:r>
        <w:rPr>
          <w:rFonts w:ascii="Gill Sans MT" w:hAnsi="Gill Sans MT"/>
          <w:b/>
          <w:sz w:val="32"/>
        </w:rPr>
        <w:t>December 2018</w:t>
      </w:r>
    </w:p>
    <w:p w:rsidR="00DC2BAD" w:rsidRPr="00162D87" w:rsidRDefault="00DC2BAD" w:rsidP="00162D87">
      <w:pPr>
        <w:jc w:val="center"/>
        <w:rPr>
          <w:rFonts w:ascii="Gill Sans MT" w:hAnsi="Gill Sans MT"/>
          <w:b/>
          <w:sz w:val="32"/>
        </w:rPr>
      </w:pPr>
    </w:p>
    <w:tbl>
      <w:tblPr>
        <w:tblStyle w:val="TableGrid"/>
        <w:tblW w:w="0" w:type="auto"/>
        <w:tblLayout w:type="fixed"/>
        <w:tblLook w:val="04A0" w:firstRow="1" w:lastRow="0" w:firstColumn="1" w:lastColumn="0" w:noHBand="0" w:noVBand="1"/>
      </w:tblPr>
      <w:tblGrid>
        <w:gridCol w:w="1458"/>
        <w:gridCol w:w="4950"/>
        <w:gridCol w:w="7766"/>
      </w:tblGrid>
      <w:tr w:rsidR="0008396C" w:rsidRPr="00162D87" w:rsidTr="0008396C">
        <w:tc>
          <w:tcPr>
            <w:tcW w:w="1458" w:type="dxa"/>
            <w:shd w:val="clear" w:color="auto" w:fill="B8CCE4" w:themeFill="accent1" w:themeFillTint="66"/>
          </w:tcPr>
          <w:p w:rsidR="009561C9" w:rsidRPr="00162D87" w:rsidRDefault="009561C9" w:rsidP="00BF2236">
            <w:pPr>
              <w:ind w:left="360"/>
              <w:jc w:val="center"/>
              <w:rPr>
                <w:rFonts w:ascii="Gill Sans MT" w:hAnsi="Gill Sans MT"/>
                <w:b/>
                <w:lang w:val="en-US"/>
              </w:rPr>
            </w:pPr>
            <w:r>
              <w:rPr>
                <w:rFonts w:ascii="Gill Sans MT" w:hAnsi="Gill Sans MT"/>
                <w:b/>
                <w:lang w:val="en-US"/>
              </w:rPr>
              <w:t>Number</w:t>
            </w:r>
          </w:p>
        </w:tc>
        <w:tc>
          <w:tcPr>
            <w:tcW w:w="4950" w:type="dxa"/>
            <w:shd w:val="clear" w:color="auto" w:fill="B8CCE4" w:themeFill="accent1" w:themeFillTint="66"/>
          </w:tcPr>
          <w:p w:rsidR="009561C9" w:rsidRPr="00162D87" w:rsidRDefault="009561C9" w:rsidP="00BF2236">
            <w:pPr>
              <w:ind w:left="360"/>
              <w:jc w:val="center"/>
              <w:rPr>
                <w:rFonts w:ascii="Gill Sans MT" w:hAnsi="Gill Sans MT"/>
                <w:b/>
                <w:lang w:val="en-US"/>
              </w:rPr>
            </w:pPr>
            <w:r>
              <w:rPr>
                <w:rFonts w:ascii="Gill Sans MT" w:hAnsi="Gill Sans MT"/>
                <w:b/>
                <w:lang w:val="en-US"/>
              </w:rPr>
              <w:t xml:space="preserve">OES </w:t>
            </w:r>
            <w:r w:rsidR="00BB20A4">
              <w:rPr>
                <w:rFonts w:ascii="Gill Sans MT" w:hAnsi="Gill Sans MT"/>
                <w:b/>
                <w:lang w:val="en-US"/>
              </w:rPr>
              <w:t>R</w:t>
            </w:r>
            <w:r>
              <w:rPr>
                <w:rFonts w:ascii="Gill Sans MT" w:hAnsi="Gill Sans MT"/>
                <w:b/>
                <w:lang w:val="en-US"/>
              </w:rPr>
              <w:t>ecommendation</w:t>
            </w:r>
            <w:r w:rsidR="00D62982">
              <w:rPr>
                <w:rFonts w:ascii="Gill Sans MT" w:hAnsi="Gill Sans MT"/>
                <w:b/>
                <w:lang w:val="en-US"/>
              </w:rPr>
              <w:t>s</w:t>
            </w:r>
          </w:p>
        </w:tc>
        <w:tc>
          <w:tcPr>
            <w:tcW w:w="7766" w:type="dxa"/>
            <w:shd w:val="clear" w:color="auto" w:fill="B8CCE4" w:themeFill="accent1" w:themeFillTint="66"/>
          </w:tcPr>
          <w:p w:rsidR="009561C9" w:rsidRPr="00162D87" w:rsidRDefault="00BB20A4" w:rsidP="00BB20A4">
            <w:pPr>
              <w:jc w:val="center"/>
              <w:rPr>
                <w:rFonts w:ascii="Gill Sans MT" w:hAnsi="Gill Sans MT"/>
                <w:b/>
                <w:lang w:val="en-US"/>
              </w:rPr>
            </w:pPr>
            <w:r>
              <w:rPr>
                <w:rFonts w:ascii="Gill Sans MT" w:hAnsi="Gill Sans MT"/>
                <w:b/>
                <w:lang w:val="en-US"/>
              </w:rPr>
              <w:t xml:space="preserve">Ministry or Department of Education </w:t>
            </w:r>
            <w:r w:rsidR="009561C9" w:rsidRPr="00162D87">
              <w:rPr>
                <w:rFonts w:ascii="Gill Sans MT" w:hAnsi="Gill Sans MT"/>
                <w:b/>
                <w:lang w:val="en-US"/>
              </w:rPr>
              <w:t>Actions</w:t>
            </w:r>
            <w:r w:rsidR="000C664F">
              <w:rPr>
                <w:rFonts w:ascii="Gill Sans MT" w:hAnsi="Gill Sans MT"/>
                <w:b/>
                <w:lang w:val="en-US"/>
              </w:rPr>
              <w:t xml:space="preserve"> to </w:t>
            </w:r>
            <w:r>
              <w:rPr>
                <w:rFonts w:ascii="Gill Sans MT" w:hAnsi="Gill Sans MT"/>
                <w:b/>
                <w:lang w:val="en-US"/>
              </w:rPr>
              <w:t>D</w:t>
            </w:r>
            <w:r w:rsidR="000C664F">
              <w:rPr>
                <w:rFonts w:ascii="Gill Sans MT" w:hAnsi="Gill Sans MT"/>
                <w:b/>
                <w:lang w:val="en-US"/>
              </w:rPr>
              <w:t>ate</w:t>
            </w:r>
          </w:p>
        </w:tc>
      </w:tr>
      <w:tr w:rsidR="009561C9" w:rsidRPr="00162D87" w:rsidTr="0008396C">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9561C9" w:rsidP="009561C9">
            <w:pPr>
              <w:rPr>
                <w:sz w:val="20"/>
                <w:szCs w:val="20"/>
                <w:lang w:val="en-US"/>
              </w:rPr>
            </w:pPr>
            <w:r w:rsidRPr="00125A1E">
              <w:rPr>
                <w:sz w:val="20"/>
                <w:szCs w:val="20"/>
                <w:lang w:val="en-US"/>
              </w:rPr>
              <w:t>To help ensure an improved and sustained rate of students’ academic progress, the Ministry of Education and school leaders should review performance management and self-evaluation arrangements in the three schools.  The quality of teaching and the curriculum offered at Key Stage 3 are not yet at the required standard to guarantee ongoing improvement to students’ attainment in core subjects.</w:t>
            </w:r>
          </w:p>
        </w:tc>
        <w:tc>
          <w:tcPr>
            <w:tcW w:w="7766" w:type="dxa"/>
          </w:tcPr>
          <w:p w:rsidR="00814747" w:rsidRDefault="009561C9" w:rsidP="00814747">
            <w:pPr>
              <w:pStyle w:val="ListParagraph"/>
              <w:numPr>
                <w:ilvl w:val="0"/>
                <w:numId w:val="3"/>
              </w:numPr>
              <w:rPr>
                <w:sz w:val="20"/>
                <w:szCs w:val="20"/>
                <w:lang w:val="en-US"/>
              </w:rPr>
            </w:pPr>
            <w:r w:rsidRPr="00814747">
              <w:rPr>
                <w:sz w:val="20"/>
                <w:szCs w:val="20"/>
                <w:lang w:val="en-US"/>
              </w:rPr>
              <w:t xml:space="preserve">The tracking and monitoring of students’ progress and attainment is much more explicit and not coincidental.  </w:t>
            </w:r>
            <w:r w:rsidR="00814747" w:rsidRPr="00814747">
              <w:rPr>
                <w:sz w:val="20"/>
                <w:szCs w:val="20"/>
                <w:lang w:val="en-US"/>
              </w:rPr>
              <w:t>This work is led by school leadership</w:t>
            </w:r>
            <w:r w:rsidRPr="00814747">
              <w:rPr>
                <w:sz w:val="20"/>
                <w:szCs w:val="20"/>
                <w:lang w:val="en-US"/>
              </w:rPr>
              <w:t xml:space="preserve"> </w:t>
            </w:r>
            <w:r w:rsidR="00814747" w:rsidRPr="00814747">
              <w:rPr>
                <w:sz w:val="20"/>
                <w:szCs w:val="20"/>
                <w:lang w:val="en-US"/>
              </w:rPr>
              <w:t xml:space="preserve">who </w:t>
            </w:r>
            <w:r w:rsidRPr="00814747">
              <w:rPr>
                <w:sz w:val="20"/>
                <w:szCs w:val="20"/>
                <w:lang w:val="en-US"/>
              </w:rPr>
              <w:t xml:space="preserve">review and identify particular students </w:t>
            </w:r>
            <w:r w:rsidR="00814747" w:rsidRPr="00814747">
              <w:rPr>
                <w:sz w:val="20"/>
                <w:szCs w:val="20"/>
                <w:lang w:val="en-US"/>
              </w:rPr>
              <w:t>who are not meeting their potential</w:t>
            </w:r>
            <w:r w:rsidR="00BB20A4">
              <w:rPr>
                <w:sz w:val="20"/>
                <w:szCs w:val="20"/>
                <w:lang w:val="en-US"/>
              </w:rPr>
              <w:t>.</w:t>
            </w:r>
          </w:p>
          <w:p w:rsidR="00814747" w:rsidRDefault="00814747" w:rsidP="00814747">
            <w:pPr>
              <w:pStyle w:val="ListParagraph"/>
              <w:numPr>
                <w:ilvl w:val="0"/>
                <w:numId w:val="3"/>
              </w:numPr>
              <w:rPr>
                <w:sz w:val="20"/>
                <w:szCs w:val="20"/>
                <w:lang w:val="en-US"/>
              </w:rPr>
            </w:pPr>
            <w:r>
              <w:rPr>
                <w:sz w:val="20"/>
                <w:szCs w:val="20"/>
                <w:lang w:val="en-US"/>
              </w:rPr>
              <w:t>Specific</w:t>
            </w:r>
            <w:r w:rsidRPr="00125A1E">
              <w:rPr>
                <w:sz w:val="20"/>
                <w:szCs w:val="20"/>
                <w:lang w:val="en-US"/>
              </w:rPr>
              <w:t xml:space="preserve"> strategies </w:t>
            </w:r>
            <w:r>
              <w:rPr>
                <w:sz w:val="20"/>
                <w:szCs w:val="20"/>
                <w:lang w:val="en-US"/>
              </w:rPr>
              <w:t xml:space="preserve">have been developed </w:t>
            </w:r>
            <w:r w:rsidRPr="00125A1E">
              <w:rPr>
                <w:sz w:val="20"/>
                <w:szCs w:val="20"/>
                <w:lang w:val="en-US"/>
              </w:rPr>
              <w:t>to make full use of data to inform learning</w:t>
            </w:r>
            <w:r>
              <w:rPr>
                <w:sz w:val="20"/>
                <w:szCs w:val="20"/>
                <w:lang w:val="en-US"/>
              </w:rPr>
              <w:t>, student self -evaluation</w:t>
            </w:r>
            <w:r w:rsidRPr="00125A1E">
              <w:rPr>
                <w:sz w:val="20"/>
                <w:szCs w:val="20"/>
                <w:lang w:val="en-US"/>
              </w:rPr>
              <w:t xml:space="preserve"> and classroom practice, including differentiation. </w:t>
            </w:r>
            <w:r>
              <w:rPr>
                <w:sz w:val="20"/>
                <w:szCs w:val="20"/>
                <w:lang w:val="en-US"/>
              </w:rPr>
              <w:t>This includes establishing baseline information for students entering the first year of the secondary schools</w:t>
            </w:r>
            <w:r w:rsidR="00BB20A4">
              <w:rPr>
                <w:sz w:val="20"/>
                <w:szCs w:val="20"/>
                <w:lang w:val="en-US"/>
              </w:rPr>
              <w:t>.</w:t>
            </w:r>
            <w:r>
              <w:rPr>
                <w:sz w:val="20"/>
                <w:szCs w:val="20"/>
                <w:lang w:val="en-US"/>
              </w:rPr>
              <w:t xml:space="preserve"> </w:t>
            </w:r>
          </w:p>
          <w:p w:rsidR="009561C9" w:rsidRPr="00125A1E" w:rsidRDefault="00814747" w:rsidP="00814747">
            <w:pPr>
              <w:pStyle w:val="ListParagraph"/>
              <w:numPr>
                <w:ilvl w:val="0"/>
                <w:numId w:val="3"/>
              </w:numPr>
              <w:rPr>
                <w:sz w:val="20"/>
                <w:szCs w:val="20"/>
                <w:lang w:val="en-US"/>
              </w:rPr>
            </w:pPr>
            <w:r>
              <w:rPr>
                <w:sz w:val="20"/>
                <w:szCs w:val="20"/>
                <w:lang w:val="en-US"/>
              </w:rPr>
              <w:t xml:space="preserve">Specific professional development sessions continue to support staff in acquiring new and additional skills in the area of teaching and learning.  This includes specific sessions for leadership in the use of the self - evaluation framework from the </w:t>
            </w:r>
            <w:r w:rsidR="00BB20A4">
              <w:rPr>
                <w:sz w:val="20"/>
                <w:szCs w:val="20"/>
                <w:lang w:val="en-US"/>
              </w:rPr>
              <w:t>O</w:t>
            </w:r>
            <w:r>
              <w:rPr>
                <w:sz w:val="20"/>
                <w:szCs w:val="20"/>
                <w:lang w:val="en-US"/>
              </w:rPr>
              <w:t>ffice of Education Standards (OES)</w:t>
            </w:r>
            <w:r w:rsidR="00BB20A4">
              <w:rPr>
                <w:sz w:val="20"/>
                <w:szCs w:val="20"/>
                <w:lang w:val="en-US"/>
              </w:rPr>
              <w:t>.</w:t>
            </w:r>
          </w:p>
          <w:p w:rsidR="000C664F" w:rsidRPr="00125A1E" w:rsidRDefault="00814747" w:rsidP="00814747">
            <w:pPr>
              <w:pStyle w:val="ListParagraph"/>
              <w:numPr>
                <w:ilvl w:val="0"/>
                <w:numId w:val="3"/>
              </w:numPr>
              <w:rPr>
                <w:sz w:val="20"/>
                <w:szCs w:val="20"/>
                <w:lang w:val="en-US"/>
              </w:rPr>
            </w:pPr>
            <w:r>
              <w:rPr>
                <w:sz w:val="20"/>
                <w:szCs w:val="20"/>
                <w:lang w:val="en-US"/>
              </w:rPr>
              <w:t>The performance management process has been reviewed along with the relevant documentations for leaders and teachers.  These documents have been produced in line with the OES guidelines</w:t>
            </w:r>
            <w:r w:rsidR="008643F9">
              <w:rPr>
                <w:sz w:val="20"/>
                <w:szCs w:val="20"/>
                <w:lang w:val="en-US"/>
              </w:rPr>
              <w:t xml:space="preserve"> and were implemented in term 1.</w:t>
            </w:r>
            <w:r>
              <w:rPr>
                <w:sz w:val="20"/>
                <w:szCs w:val="20"/>
                <w:lang w:val="en-US"/>
              </w:rPr>
              <w:t xml:space="preserve">  This makes for a more robust process and continual focus on good quality teaching</w:t>
            </w:r>
            <w:r w:rsidR="00BB20A4">
              <w:rPr>
                <w:sz w:val="20"/>
                <w:szCs w:val="20"/>
                <w:lang w:val="en-US"/>
              </w:rPr>
              <w:t>.</w:t>
            </w:r>
          </w:p>
          <w:p w:rsidR="009561C9" w:rsidRPr="00125A1E" w:rsidRDefault="008643F9" w:rsidP="00C350ED">
            <w:pPr>
              <w:pStyle w:val="ListParagraph"/>
              <w:numPr>
                <w:ilvl w:val="0"/>
                <w:numId w:val="3"/>
              </w:numPr>
              <w:rPr>
                <w:sz w:val="20"/>
                <w:szCs w:val="20"/>
                <w:lang w:val="en-US"/>
              </w:rPr>
            </w:pPr>
            <w:r>
              <w:rPr>
                <w:sz w:val="20"/>
                <w:szCs w:val="20"/>
                <w:lang w:val="en-US"/>
              </w:rPr>
              <w:t xml:space="preserve">The process for examination entries has also been revised thus ensuring that </w:t>
            </w:r>
            <w:r w:rsidR="001E4457" w:rsidRPr="00125A1E">
              <w:rPr>
                <w:sz w:val="20"/>
                <w:szCs w:val="20"/>
                <w:lang w:val="en-US"/>
              </w:rPr>
              <w:t>students</w:t>
            </w:r>
            <w:r w:rsidR="00050B95" w:rsidRPr="00125A1E">
              <w:rPr>
                <w:sz w:val="20"/>
                <w:szCs w:val="20"/>
                <w:lang w:val="en-US"/>
              </w:rPr>
              <w:t xml:space="preserve"> have the best possib</w:t>
            </w:r>
            <w:r w:rsidR="00C162EF" w:rsidRPr="00125A1E">
              <w:rPr>
                <w:sz w:val="20"/>
                <w:szCs w:val="20"/>
                <w:lang w:val="en-US"/>
              </w:rPr>
              <w:t xml:space="preserve">le opportunity to achieve their individual </w:t>
            </w:r>
            <w:r>
              <w:rPr>
                <w:sz w:val="20"/>
                <w:szCs w:val="20"/>
                <w:lang w:val="en-US"/>
              </w:rPr>
              <w:t>targets aligned with international standards</w:t>
            </w:r>
            <w:r w:rsidR="00BB20A4">
              <w:rPr>
                <w:sz w:val="20"/>
                <w:szCs w:val="20"/>
                <w:lang w:val="en-US"/>
              </w:rPr>
              <w:t>.</w:t>
            </w:r>
            <w:r w:rsidR="000C664F" w:rsidRPr="00125A1E">
              <w:rPr>
                <w:sz w:val="20"/>
                <w:szCs w:val="20"/>
                <w:lang w:val="en-US"/>
              </w:rPr>
              <w:t xml:space="preserve">  </w:t>
            </w:r>
          </w:p>
        </w:tc>
      </w:tr>
      <w:tr w:rsidR="009561C9" w:rsidRPr="00162D87" w:rsidTr="0008396C">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9561C9" w:rsidP="009561C9">
            <w:pPr>
              <w:rPr>
                <w:sz w:val="20"/>
                <w:szCs w:val="20"/>
                <w:lang w:val="en-US"/>
              </w:rPr>
            </w:pPr>
            <w:r w:rsidRPr="00125A1E">
              <w:rPr>
                <w:sz w:val="20"/>
                <w:szCs w:val="20"/>
                <w:lang w:val="en-US"/>
              </w:rPr>
              <w:t>In undertaking the review of the curriculum at Key Stage 3, the Ministry of Education and school leaders should introduce more reliable and robust assessment practices to help monitor students’ progress and align students’ achievement to international standards.</w:t>
            </w:r>
          </w:p>
          <w:p w:rsidR="009561C9" w:rsidRPr="00125A1E" w:rsidRDefault="009561C9" w:rsidP="00162D87">
            <w:pPr>
              <w:ind w:left="360"/>
              <w:rPr>
                <w:sz w:val="20"/>
                <w:szCs w:val="20"/>
                <w:lang w:val="en-US"/>
              </w:rPr>
            </w:pPr>
          </w:p>
        </w:tc>
        <w:tc>
          <w:tcPr>
            <w:tcW w:w="7766" w:type="dxa"/>
          </w:tcPr>
          <w:p w:rsidR="009561C9" w:rsidRPr="00125A1E" w:rsidRDefault="009561C9" w:rsidP="00F874BC">
            <w:pPr>
              <w:pStyle w:val="ListParagraph"/>
              <w:numPr>
                <w:ilvl w:val="0"/>
                <w:numId w:val="6"/>
              </w:numPr>
              <w:rPr>
                <w:sz w:val="20"/>
                <w:szCs w:val="20"/>
                <w:lang w:val="en-US"/>
              </w:rPr>
            </w:pPr>
            <w:r w:rsidRPr="00125A1E">
              <w:rPr>
                <w:sz w:val="20"/>
                <w:szCs w:val="20"/>
                <w:lang w:val="en-US"/>
              </w:rPr>
              <w:t xml:space="preserve">Specific </w:t>
            </w:r>
            <w:r w:rsidR="00E63312">
              <w:rPr>
                <w:sz w:val="20"/>
                <w:szCs w:val="20"/>
                <w:lang w:val="en-US"/>
              </w:rPr>
              <w:t>professional development</w:t>
            </w:r>
            <w:r w:rsidRPr="00125A1E">
              <w:rPr>
                <w:sz w:val="20"/>
                <w:szCs w:val="20"/>
                <w:lang w:val="en-US"/>
              </w:rPr>
              <w:t xml:space="preserve"> sessions targeting Key Stage 3 </w:t>
            </w:r>
            <w:r w:rsidR="00E63312">
              <w:rPr>
                <w:sz w:val="20"/>
                <w:szCs w:val="20"/>
                <w:lang w:val="en-US"/>
              </w:rPr>
              <w:t xml:space="preserve">teachers </w:t>
            </w:r>
            <w:r w:rsidR="00C05D67" w:rsidRPr="00125A1E">
              <w:rPr>
                <w:sz w:val="20"/>
                <w:szCs w:val="20"/>
                <w:lang w:val="en-US"/>
              </w:rPr>
              <w:t xml:space="preserve">and levelling </w:t>
            </w:r>
            <w:r w:rsidR="00B540B3" w:rsidRPr="00125A1E">
              <w:rPr>
                <w:sz w:val="20"/>
                <w:szCs w:val="20"/>
                <w:lang w:val="en-US"/>
              </w:rPr>
              <w:t>across</w:t>
            </w:r>
            <w:r w:rsidR="00C05D67" w:rsidRPr="00125A1E">
              <w:rPr>
                <w:sz w:val="20"/>
                <w:szCs w:val="20"/>
                <w:lang w:val="en-US"/>
              </w:rPr>
              <w:t xml:space="preserve"> the core subjects</w:t>
            </w:r>
          </w:p>
          <w:p w:rsidR="009561C9" w:rsidRPr="00125A1E" w:rsidRDefault="009561C9" w:rsidP="00F874BC">
            <w:pPr>
              <w:pStyle w:val="ListParagraph"/>
              <w:numPr>
                <w:ilvl w:val="0"/>
                <w:numId w:val="6"/>
              </w:numPr>
              <w:rPr>
                <w:sz w:val="20"/>
                <w:szCs w:val="20"/>
                <w:lang w:val="en-US"/>
              </w:rPr>
            </w:pPr>
            <w:r w:rsidRPr="00125A1E">
              <w:rPr>
                <w:sz w:val="20"/>
                <w:szCs w:val="20"/>
                <w:lang w:val="en-US"/>
              </w:rPr>
              <w:t xml:space="preserve">Moderation at the Key Stage 3 to ensure exemplar work </w:t>
            </w:r>
            <w:r w:rsidR="000C664F" w:rsidRPr="00125A1E">
              <w:rPr>
                <w:sz w:val="20"/>
                <w:szCs w:val="20"/>
                <w:lang w:val="en-US"/>
              </w:rPr>
              <w:t xml:space="preserve">exists for all subjects </w:t>
            </w:r>
            <w:r w:rsidR="00E63312">
              <w:rPr>
                <w:sz w:val="20"/>
                <w:szCs w:val="20"/>
                <w:lang w:val="en-US"/>
              </w:rPr>
              <w:t>to promote consistency in teaching and enhance the learning process for students</w:t>
            </w:r>
            <w:r w:rsidR="000C664F" w:rsidRPr="00125A1E">
              <w:rPr>
                <w:sz w:val="20"/>
                <w:szCs w:val="20"/>
                <w:lang w:val="en-US"/>
              </w:rPr>
              <w:t xml:space="preserve"> </w:t>
            </w:r>
          </w:p>
          <w:p w:rsidR="00392087" w:rsidRPr="00125A1E" w:rsidRDefault="00E63312" w:rsidP="00F874BC">
            <w:pPr>
              <w:pStyle w:val="ListParagraph"/>
              <w:numPr>
                <w:ilvl w:val="0"/>
                <w:numId w:val="6"/>
              </w:numPr>
              <w:rPr>
                <w:sz w:val="20"/>
                <w:szCs w:val="20"/>
                <w:lang w:val="en-US"/>
              </w:rPr>
            </w:pPr>
            <w:r>
              <w:rPr>
                <w:sz w:val="20"/>
                <w:szCs w:val="20"/>
                <w:lang w:val="en-US"/>
              </w:rPr>
              <w:t>Marking and assessment policies to be reviewed and practices monitored to ensure b</w:t>
            </w:r>
            <w:r w:rsidR="00392087" w:rsidRPr="00125A1E">
              <w:rPr>
                <w:sz w:val="20"/>
                <w:szCs w:val="20"/>
                <w:lang w:val="en-US"/>
              </w:rPr>
              <w:t xml:space="preserve">etter quality assurance </w:t>
            </w:r>
            <w:r>
              <w:rPr>
                <w:sz w:val="20"/>
                <w:szCs w:val="20"/>
                <w:lang w:val="en-US"/>
              </w:rPr>
              <w:t>in schools</w:t>
            </w:r>
            <w:r w:rsidR="00392087" w:rsidRPr="00125A1E">
              <w:rPr>
                <w:sz w:val="20"/>
                <w:szCs w:val="20"/>
                <w:lang w:val="en-US"/>
              </w:rPr>
              <w:t xml:space="preserve"> </w:t>
            </w:r>
          </w:p>
          <w:p w:rsidR="000C664F" w:rsidRPr="00125A1E" w:rsidRDefault="00E63312" w:rsidP="00F874BC">
            <w:pPr>
              <w:pStyle w:val="ListParagraph"/>
              <w:numPr>
                <w:ilvl w:val="0"/>
                <w:numId w:val="6"/>
              </w:numPr>
              <w:rPr>
                <w:sz w:val="20"/>
                <w:szCs w:val="20"/>
                <w:lang w:val="en-US"/>
              </w:rPr>
            </w:pPr>
            <w:r>
              <w:rPr>
                <w:sz w:val="20"/>
                <w:szCs w:val="20"/>
                <w:lang w:val="en-US"/>
              </w:rPr>
              <w:t>Optimal use of data from</w:t>
            </w:r>
            <w:r w:rsidR="00392087" w:rsidRPr="00125A1E">
              <w:rPr>
                <w:sz w:val="20"/>
                <w:szCs w:val="20"/>
                <w:lang w:val="en-US"/>
              </w:rPr>
              <w:t xml:space="preserve"> Key Stage 2 SATs along with baseline assessment to ensure students attainment and progress on entry is understood by all staff.</w:t>
            </w:r>
            <w:r w:rsidR="001E4457" w:rsidRPr="00125A1E">
              <w:rPr>
                <w:sz w:val="20"/>
                <w:szCs w:val="20"/>
                <w:lang w:val="en-US"/>
              </w:rPr>
              <w:t xml:space="preserve"> </w:t>
            </w:r>
            <w:r>
              <w:rPr>
                <w:sz w:val="20"/>
                <w:szCs w:val="20"/>
                <w:lang w:val="en-US"/>
              </w:rPr>
              <w:t>Interventions to be deployed to close attainment gaps for identified students</w:t>
            </w:r>
          </w:p>
          <w:p w:rsidR="001E4457" w:rsidRPr="00125A1E" w:rsidRDefault="00050B95" w:rsidP="00F874BC">
            <w:pPr>
              <w:pStyle w:val="ListParagraph"/>
              <w:numPr>
                <w:ilvl w:val="0"/>
                <w:numId w:val="6"/>
              </w:numPr>
              <w:rPr>
                <w:sz w:val="20"/>
                <w:szCs w:val="20"/>
                <w:lang w:val="en-US"/>
              </w:rPr>
            </w:pPr>
            <w:r w:rsidRPr="00125A1E">
              <w:rPr>
                <w:sz w:val="20"/>
                <w:szCs w:val="20"/>
                <w:lang w:val="en-US"/>
              </w:rPr>
              <w:t>A</w:t>
            </w:r>
            <w:r w:rsidR="001E4457" w:rsidRPr="00125A1E">
              <w:rPr>
                <w:sz w:val="20"/>
                <w:szCs w:val="20"/>
                <w:lang w:val="en-US"/>
              </w:rPr>
              <w:t xml:space="preserve"> nur</w:t>
            </w:r>
            <w:r w:rsidR="00814747">
              <w:rPr>
                <w:sz w:val="20"/>
                <w:szCs w:val="20"/>
                <w:lang w:val="en-US"/>
              </w:rPr>
              <w:t xml:space="preserve">ture group for students with </w:t>
            </w:r>
            <w:r w:rsidR="001E4457" w:rsidRPr="00125A1E">
              <w:rPr>
                <w:sz w:val="20"/>
                <w:szCs w:val="20"/>
                <w:lang w:val="en-US"/>
              </w:rPr>
              <w:t xml:space="preserve">low literacy levels to supplement </w:t>
            </w:r>
            <w:r w:rsidR="00E63312">
              <w:rPr>
                <w:sz w:val="20"/>
                <w:szCs w:val="20"/>
                <w:lang w:val="en-US"/>
              </w:rPr>
              <w:t>interventions</w:t>
            </w:r>
            <w:r w:rsidRPr="00125A1E">
              <w:rPr>
                <w:sz w:val="20"/>
                <w:szCs w:val="20"/>
                <w:lang w:val="en-US"/>
              </w:rPr>
              <w:t xml:space="preserve"> is </w:t>
            </w:r>
            <w:r w:rsidRPr="00125A1E">
              <w:rPr>
                <w:sz w:val="20"/>
                <w:szCs w:val="20"/>
                <w:lang w:val="en-US"/>
              </w:rPr>
              <w:lastRenderedPageBreak/>
              <w:t>in place</w:t>
            </w:r>
            <w:r w:rsidR="00E63312">
              <w:rPr>
                <w:sz w:val="20"/>
                <w:szCs w:val="20"/>
                <w:lang w:val="en-US"/>
              </w:rPr>
              <w:t xml:space="preserve"> at one high school (J</w:t>
            </w:r>
            <w:r w:rsidR="00BB20A4">
              <w:rPr>
                <w:sz w:val="20"/>
                <w:szCs w:val="20"/>
                <w:lang w:val="en-US"/>
              </w:rPr>
              <w:t xml:space="preserve">ohn </w:t>
            </w:r>
            <w:r w:rsidR="00E63312">
              <w:rPr>
                <w:sz w:val="20"/>
                <w:szCs w:val="20"/>
                <w:lang w:val="en-US"/>
              </w:rPr>
              <w:t>G</w:t>
            </w:r>
            <w:r w:rsidR="00BB20A4">
              <w:rPr>
                <w:sz w:val="20"/>
                <w:szCs w:val="20"/>
                <w:lang w:val="en-US"/>
              </w:rPr>
              <w:t xml:space="preserve">ray </w:t>
            </w:r>
            <w:r w:rsidR="00E63312">
              <w:rPr>
                <w:sz w:val="20"/>
                <w:szCs w:val="20"/>
                <w:lang w:val="en-US"/>
              </w:rPr>
              <w:t>H</w:t>
            </w:r>
            <w:r w:rsidR="00BB20A4">
              <w:rPr>
                <w:sz w:val="20"/>
                <w:szCs w:val="20"/>
                <w:lang w:val="en-US"/>
              </w:rPr>
              <w:t xml:space="preserve">igh </w:t>
            </w:r>
            <w:r w:rsidR="00E63312">
              <w:rPr>
                <w:sz w:val="20"/>
                <w:szCs w:val="20"/>
                <w:lang w:val="en-US"/>
              </w:rPr>
              <w:t>S</w:t>
            </w:r>
            <w:r w:rsidR="00BB20A4">
              <w:rPr>
                <w:sz w:val="20"/>
                <w:szCs w:val="20"/>
                <w:lang w:val="en-US"/>
              </w:rPr>
              <w:t>chool</w:t>
            </w:r>
            <w:r w:rsidR="00E63312">
              <w:rPr>
                <w:sz w:val="20"/>
                <w:szCs w:val="20"/>
                <w:lang w:val="en-US"/>
              </w:rPr>
              <w:t>)</w:t>
            </w:r>
            <w:r w:rsidRPr="00125A1E">
              <w:rPr>
                <w:sz w:val="20"/>
                <w:szCs w:val="20"/>
                <w:lang w:val="en-US"/>
              </w:rPr>
              <w:t xml:space="preserve">.  </w:t>
            </w:r>
            <w:r w:rsidR="00E63312">
              <w:rPr>
                <w:sz w:val="20"/>
                <w:szCs w:val="20"/>
                <w:lang w:val="en-US"/>
              </w:rPr>
              <w:t xml:space="preserve">The impact of this pilot will </w:t>
            </w:r>
            <w:r w:rsidR="00814747">
              <w:rPr>
                <w:sz w:val="20"/>
                <w:szCs w:val="20"/>
                <w:lang w:val="en-US"/>
              </w:rPr>
              <w:t>guide further such groupings in the other secondary schools for similar students</w:t>
            </w:r>
            <w:r w:rsidR="00BB20A4">
              <w:rPr>
                <w:sz w:val="20"/>
                <w:szCs w:val="20"/>
                <w:lang w:val="en-US"/>
              </w:rPr>
              <w:t>.</w:t>
            </w:r>
          </w:p>
          <w:p w:rsidR="00430110" w:rsidRPr="00814747" w:rsidRDefault="00430110" w:rsidP="00814747">
            <w:pPr>
              <w:ind w:left="360"/>
              <w:rPr>
                <w:sz w:val="20"/>
                <w:szCs w:val="20"/>
                <w:lang w:val="en-US"/>
              </w:rPr>
            </w:pPr>
          </w:p>
        </w:tc>
      </w:tr>
      <w:tr w:rsidR="009561C9" w:rsidRPr="00162D87" w:rsidTr="0008396C">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9561C9" w:rsidP="009561C9">
            <w:pPr>
              <w:jc w:val="both"/>
              <w:rPr>
                <w:sz w:val="20"/>
                <w:szCs w:val="20"/>
                <w:lang w:val="en-US"/>
              </w:rPr>
            </w:pPr>
            <w:r w:rsidRPr="00125A1E">
              <w:rPr>
                <w:sz w:val="20"/>
                <w:szCs w:val="20"/>
                <w:lang w:val="en-US"/>
              </w:rPr>
              <w:t>The Ministry of Education should include Key Stage 3 within the ongoing review of the curriculum to ensure a better transition from primary into the early secondary years and enhanced progress from Years 7 to 9.</w:t>
            </w:r>
          </w:p>
          <w:p w:rsidR="009561C9" w:rsidRPr="00125A1E" w:rsidRDefault="009561C9" w:rsidP="00162D87">
            <w:pPr>
              <w:ind w:left="360"/>
              <w:rPr>
                <w:sz w:val="20"/>
                <w:szCs w:val="20"/>
                <w:lang w:val="en-US"/>
              </w:rPr>
            </w:pPr>
          </w:p>
        </w:tc>
        <w:tc>
          <w:tcPr>
            <w:tcW w:w="7766" w:type="dxa"/>
          </w:tcPr>
          <w:p w:rsidR="009561C9" w:rsidRPr="00125A1E" w:rsidRDefault="00050B95" w:rsidP="00F874BC">
            <w:pPr>
              <w:pStyle w:val="ListParagraph"/>
              <w:numPr>
                <w:ilvl w:val="0"/>
                <w:numId w:val="7"/>
              </w:numPr>
              <w:rPr>
                <w:sz w:val="20"/>
                <w:szCs w:val="20"/>
                <w:lang w:val="en-US"/>
              </w:rPr>
            </w:pPr>
            <w:r w:rsidRPr="00125A1E">
              <w:rPr>
                <w:sz w:val="20"/>
                <w:szCs w:val="20"/>
                <w:lang w:val="en-US"/>
              </w:rPr>
              <w:t>On-going review of</w:t>
            </w:r>
            <w:r w:rsidR="00392087" w:rsidRPr="00125A1E">
              <w:rPr>
                <w:sz w:val="20"/>
                <w:szCs w:val="20"/>
                <w:lang w:val="en-US"/>
              </w:rPr>
              <w:t xml:space="preserve"> </w:t>
            </w:r>
            <w:r w:rsidRPr="00125A1E">
              <w:rPr>
                <w:sz w:val="20"/>
                <w:szCs w:val="20"/>
                <w:lang w:val="en-US"/>
              </w:rPr>
              <w:t>s</w:t>
            </w:r>
            <w:r w:rsidR="00392087" w:rsidRPr="00125A1E">
              <w:rPr>
                <w:sz w:val="20"/>
                <w:szCs w:val="20"/>
                <w:lang w:val="en-US"/>
              </w:rPr>
              <w:t xml:space="preserve">chemes of work in core subjects to ensure there is </w:t>
            </w:r>
            <w:r w:rsidR="00125A1E">
              <w:rPr>
                <w:sz w:val="20"/>
                <w:szCs w:val="20"/>
                <w:lang w:val="en-US"/>
              </w:rPr>
              <w:t xml:space="preserve">sufficient </w:t>
            </w:r>
            <w:r w:rsidR="00392087" w:rsidRPr="00125A1E">
              <w:rPr>
                <w:sz w:val="20"/>
                <w:szCs w:val="20"/>
                <w:lang w:val="en-US"/>
              </w:rPr>
              <w:t>challenge and</w:t>
            </w:r>
            <w:r w:rsidRPr="00125A1E">
              <w:rPr>
                <w:sz w:val="20"/>
                <w:szCs w:val="20"/>
                <w:lang w:val="en-US"/>
              </w:rPr>
              <w:t xml:space="preserve"> the content is </w:t>
            </w:r>
            <w:r w:rsidR="00392087" w:rsidRPr="00125A1E">
              <w:rPr>
                <w:sz w:val="20"/>
                <w:szCs w:val="20"/>
                <w:lang w:val="en-US"/>
              </w:rPr>
              <w:t xml:space="preserve">adapted to the needs of the students. </w:t>
            </w:r>
          </w:p>
          <w:p w:rsidR="00E63312" w:rsidRPr="00125A1E" w:rsidRDefault="00E63312" w:rsidP="001E4457">
            <w:pPr>
              <w:pStyle w:val="ListParagraph"/>
              <w:numPr>
                <w:ilvl w:val="0"/>
                <w:numId w:val="1"/>
              </w:numPr>
              <w:rPr>
                <w:sz w:val="20"/>
                <w:szCs w:val="20"/>
                <w:lang w:val="en-US"/>
              </w:rPr>
            </w:pPr>
            <w:r>
              <w:rPr>
                <w:sz w:val="20"/>
                <w:szCs w:val="20"/>
                <w:lang w:val="en-US"/>
              </w:rPr>
              <w:t>Ministry curriculum review will include a review of Key Stage 3 to ensure a smooth transition from primary into early secondary and enhance student progress in Key stage 3.  This work is expected to commence in 2019</w:t>
            </w:r>
            <w:r w:rsidR="00BB20A4">
              <w:rPr>
                <w:sz w:val="20"/>
                <w:szCs w:val="20"/>
                <w:lang w:val="en-US"/>
              </w:rPr>
              <w:t>.</w:t>
            </w:r>
          </w:p>
          <w:p w:rsidR="00430110" w:rsidRPr="00125A1E" w:rsidRDefault="00430110" w:rsidP="00430110">
            <w:pPr>
              <w:rPr>
                <w:sz w:val="20"/>
                <w:szCs w:val="20"/>
                <w:lang w:val="en-US"/>
              </w:rPr>
            </w:pPr>
          </w:p>
          <w:p w:rsidR="00430110" w:rsidRPr="00125A1E" w:rsidRDefault="00430110" w:rsidP="00430110">
            <w:pPr>
              <w:rPr>
                <w:sz w:val="20"/>
                <w:szCs w:val="20"/>
                <w:lang w:val="en-US"/>
              </w:rPr>
            </w:pPr>
          </w:p>
          <w:p w:rsidR="00430110" w:rsidRPr="00125A1E" w:rsidRDefault="00430110" w:rsidP="00430110">
            <w:pPr>
              <w:rPr>
                <w:sz w:val="20"/>
                <w:szCs w:val="20"/>
                <w:lang w:val="en-US"/>
              </w:rPr>
            </w:pPr>
          </w:p>
          <w:p w:rsidR="001E4457" w:rsidRPr="00125A1E" w:rsidRDefault="001E4457" w:rsidP="001E4457">
            <w:pPr>
              <w:pStyle w:val="ListParagraph"/>
              <w:rPr>
                <w:sz w:val="20"/>
                <w:szCs w:val="20"/>
                <w:lang w:val="en-US"/>
              </w:rPr>
            </w:pPr>
          </w:p>
        </w:tc>
      </w:tr>
      <w:tr w:rsidR="009561C9" w:rsidRPr="00162D87" w:rsidTr="0008396C">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9561C9" w:rsidP="00392087">
            <w:pPr>
              <w:rPr>
                <w:sz w:val="20"/>
                <w:szCs w:val="20"/>
                <w:lang w:val="en-US"/>
              </w:rPr>
            </w:pPr>
            <w:r w:rsidRPr="00125A1E">
              <w:rPr>
                <w:sz w:val="20"/>
                <w:szCs w:val="20"/>
                <w:lang w:val="en-US"/>
              </w:rPr>
              <w:t>Improve reporting and monitoring arrangements between the Ministry of Education and Cayman Islands Fire Service to ensure that regular, comprehensive fire inspections of the government public schools are undertaken and identified infractions are addressed in a timely manner.</w:t>
            </w:r>
          </w:p>
          <w:p w:rsidR="009561C9" w:rsidRPr="00125A1E" w:rsidRDefault="009561C9" w:rsidP="00F874BC">
            <w:pPr>
              <w:rPr>
                <w:sz w:val="20"/>
                <w:szCs w:val="20"/>
                <w:lang w:val="en-US"/>
              </w:rPr>
            </w:pPr>
          </w:p>
        </w:tc>
        <w:tc>
          <w:tcPr>
            <w:tcW w:w="7766" w:type="dxa"/>
          </w:tcPr>
          <w:p w:rsidR="00F874BC" w:rsidRPr="00125A1E" w:rsidRDefault="00125A1E" w:rsidP="00F874BC">
            <w:pPr>
              <w:pStyle w:val="ListParagraph"/>
              <w:numPr>
                <w:ilvl w:val="0"/>
                <w:numId w:val="9"/>
              </w:numPr>
              <w:rPr>
                <w:sz w:val="20"/>
                <w:szCs w:val="20"/>
                <w:lang w:val="en-US"/>
              </w:rPr>
            </w:pPr>
            <w:r>
              <w:rPr>
                <w:sz w:val="20"/>
                <w:szCs w:val="20"/>
                <w:lang w:val="en-US"/>
              </w:rPr>
              <w:t xml:space="preserve">Liaison with the Fire Service to receive comprehensive reports from the 10 emergency drills </w:t>
            </w:r>
            <w:r w:rsidR="00BB20A4">
              <w:rPr>
                <w:sz w:val="20"/>
                <w:szCs w:val="20"/>
                <w:lang w:val="en-US"/>
              </w:rPr>
              <w:t xml:space="preserve">are </w:t>
            </w:r>
            <w:r>
              <w:rPr>
                <w:sz w:val="20"/>
                <w:szCs w:val="20"/>
                <w:lang w:val="en-US"/>
              </w:rPr>
              <w:t>completed each year</w:t>
            </w:r>
            <w:r w:rsidR="00BB20A4">
              <w:rPr>
                <w:sz w:val="20"/>
                <w:szCs w:val="20"/>
                <w:lang w:val="en-US"/>
              </w:rPr>
              <w:t>.</w:t>
            </w:r>
          </w:p>
          <w:p w:rsidR="009561C9" w:rsidRPr="00125A1E" w:rsidRDefault="00125A1E" w:rsidP="00F874BC">
            <w:pPr>
              <w:pStyle w:val="ListParagraph"/>
              <w:numPr>
                <w:ilvl w:val="0"/>
                <w:numId w:val="9"/>
              </w:numPr>
              <w:rPr>
                <w:sz w:val="20"/>
                <w:szCs w:val="20"/>
                <w:lang w:val="en-US"/>
              </w:rPr>
            </w:pPr>
            <w:r>
              <w:rPr>
                <w:sz w:val="20"/>
                <w:szCs w:val="20"/>
                <w:lang w:val="en-US"/>
              </w:rPr>
              <w:t>Infractions will be addressed with support from the Department of Education Services</w:t>
            </w:r>
            <w:r w:rsidR="00BB20A4">
              <w:rPr>
                <w:sz w:val="20"/>
                <w:szCs w:val="20"/>
                <w:lang w:val="en-US"/>
              </w:rPr>
              <w:t>.</w:t>
            </w:r>
            <w:r w:rsidR="00EE52A8" w:rsidRPr="00125A1E">
              <w:rPr>
                <w:sz w:val="20"/>
                <w:szCs w:val="20"/>
                <w:lang w:val="en-US"/>
              </w:rPr>
              <w:t xml:space="preserve"> </w:t>
            </w:r>
          </w:p>
        </w:tc>
      </w:tr>
      <w:tr w:rsidR="009561C9" w:rsidRPr="00162D87" w:rsidTr="0008396C">
        <w:trPr>
          <w:trHeight w:val="710"/>
        </w:trPr>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F874BC" w:rsidP="00F874BC">
            <w:pPr>
              <w:rPr>
                <w:sz w:val="20"/>
                <w:szCs w:val="20"/>
                <w:lang w:val="en-US"/>
              </w:rPr>
            </w:pPr>
            <w:r w:rsidRPr="00125A1E">
              <w:rPr>
                <w:sz w:val="20"/>
                <w:szCs w:val="20"/>
                <w:lang w:val="en-US"/>
              </w:rPr>
              <w:t>The Ministry of Education should review the quality of the school premises at Layman E. Scott High School to plan ahead for 21</w:t>
            </w:r>
            <w:r w:rsidRPr="00125A1E">
              <w:rPr>
                <w:sz w:val="20"/>
                <w:szCs w:val="20"/>
                <w:vertAlign w:val="superscript"/>
                <w:lang w:val="en-US"/>
              </w:rPr>
              <w:t>st</w:t>
            </w:r>
            <w:r w:rsidRPr="00125A1E">
              <w:rPr>
                <w:sz w:val="20"/>
                <w:szCs w:val="20"/>
                <w:lang w:val="en-US"/>
              </w:rPr>
              <w:t xml:space="preserve"> century educational provision for students in Cayman Brac.</w:t>
            </w:r>
          </w:p>
        </w:tc>
        <w:tc>
          <w:tcPr>
            <w:tcW w:w="7766" w:type="dxa"/>
          </w:tcPr>
          <w:p w:rsidR="009561C9" w:rsidRPr="00125A1E" w:rsidRDefault="00125A1E" w:rsidP="00125A1E">
            <w:pPr>
              <w:pStyle w:val="ListParagraph"/>
              <w:numPr>
                <w:ilvl w:val="0"/>
                <w:numId w:val="14"/>
              </w:numPr>
              <w:rPr>
                <w:sz w:val="20"/>
                <w:szCs w:val="20"/>
                <w:lang w:val="en-US"/>
              </w:rPr>
            </w:pPr>
            <w:r w:rsidRPr="00125A1E">
              <w:rPr>
                <w:sz w:val="20"/>
                <w:szCs w:val="20"/>
                <w:lang w:val="en-US"/>
              </w:rPr>
              <w:t>A review of the school premises at Layman Scott High School is planned</w:t>
            </w:r>
            <w:r w:rsidR="00E63312">
              <w:rPr>
                <w:sz w:val="20"/>
                <w:szCs w:val="20"/>
                <w:lang w:val="en-US"/>
              </w:rPr>
              <w:t xml:space="preserve"> for the near future</w:t>
            </w:r>
            <w:r w:rsidR="00BB20A4">
              <w:rPr>
                <w:sz w:val="20"/>
                <w:szCs w:val="20"/>
                <w:lang w:val="en-US"/>
              </w:rPr>
              <w:t>.</w:t>
            </w:r>
          </w:p>
        </w:tc>
      </w:tr>
      <w:tr w:rsidR="009561C9" w:rsidRPr="00162D87" w:rsidTr="0008396C">
        <w:trPr>
          <w:trHeight w:val="1115"/>
        </w:trPr>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F874BC" w:rsidP="00F874BC">
            <w:pPr>
              <w:rPr>
                <w:sz w:val="20"/>
                <w:szCs w:val="20"/>
                <w:lang w:val="en-US"/>
              </w:rPr>
            </w:pPr>
            <w:r w:rsidRPr="00125A1E">
              <w:rPr>
                <w:sz w:val="20"/>
                <w:szCs w:val="20"/>
                <w:lang w:val="en-US"/>
              </w:rPr>
              <w:t>Principals of all three schools should review the survey responses of students regarding aspects of care and welfare and, through further discussion with their student councils and other relevant representative student groups, identify and address aspects of concern that have led to students’ low levels of satisfaction.</w:t>
            </w:r>
          </w:p>
        </w:tc>
        <w:tc>
          <w:tcPr>
            <w:tcW w:w="7766" w:type="dxa"/>
          </w:tcPr>
          <w:p w:rsidR="009561C9" w:rsidRPr="00125A1E" w:rsidRDefault="00EF692A" w:rsidP="00EF692A">
            <w:pPr>
              <w:pStyle w:val="ListParagraph"/>
              <w:numPr>
                <w:ilvl w:val="0"/>
                <w:numId w:val="1"/>
              </w:numPr>
              <w:rPr>
                <w:sz w:val="20"/>
                <w:szCs w:val="20"/>
                <w:lang w:val="en-US"/>
              </w:rPr>
            </w:pPr>
            <w:r w:rsidRPr="00125A1E">
              <w:rPr>
                <w:sz w:val="20"/>
                <w:szCs w:val="20"/>
                <w:lang w:val="en-US"/>
              </w:rPr>
              <w:t>Continue to strengthen the s</w:t>
            </w:r>
            <w:r w:rsidR="001E4457" w:rsidRPr="00125A1E">
              <w:rPr>
                <w:sz w:val="20"/>
                <w:szCs w:val="20"/>
                <w:lang w:val="en-US"/>
              </w:rPr>
              <w:t xml:space="preserve">tudent voice </w:t>
            </w:r>
            <w:r w:rsidRPr="00125A1E">
              <w:rPr>
                <w:sz w:val="20"/>
                <w:szCs w:val="20"/>
                <w:lang w:val="en-US"/>
              </w:rPr>
              <w:t>across the school by reviewing the responses from the survey</w:t>
            </w:r>
            <w:r w:rsidR="00125A1E">
              <w:rPr>
                <w:sz w:val="20"/>
                <w:szCs w:val="20"/>
                <w:lang w:val="en-US"/>
              </w:rPr>
              <w:t>s</w:t>
            </w:r>
            <w:r w:rsidRPr="00125A1E">
              <w:rPr>
                <w:sz w:val="20"/>
                <w:szCs w:val="20"/>
                <w:lang w:val="en-US"/>
              </w:rPr>
              <w:t xml:space="preserve"> and creating </w:t>
            </w:r>
            <w:r w:rsidR="00125A1E">
              <w:rPr>
                <w:sz w:val="20"/>
                <w:szCs w:val="20"/>
                <w:lang w:val="en-US"/>
              </w:rPr>
              <w:t xml:space="preserve">a </w:t>
            </w:r>
            <w:r w:rsidRPr="00125A1E">
              <w:rPr>
                <w:sz w:val="20"/>
                <w:szCs w:val="20"/>
                <w:lang w:val="en-US"/>
              </w:rPr>
              <w:t xml:space="preserve">plan of action </w:t>
            </w:r>
            <w:r w:rsidR="00125A1E">
              <w:rPr>
                <w:sz w:val="20"/>
                <w:szCs w:val="20"/>
                <w:lang w:val="en-US"/>
              </w:rPr>
              <w:t xml:space="preserve">in collaboration </w:t>
            </w:r>
            <w:r w:rsidRPr="00125A1E">
              <w:rPr>
                <w:sz w:val="20"/>
                <w:szCs w:val="20"/>
                <w:lang w:val="en-US"/>
              </w:rPr>
              <w:t>with the student council and other relevant representative student groups</w:t>
            </w:r>
          </w:p>
        </w:tc>
      </w:tr>
      <w:tr w:rsidR="009561C9" w:rsidRPr="00162D87" w:rsidTr="0008396C">
        <w:tc>
          <w:tcPr>
            <w:tcW w:w="1458" w:type="dxa"/>
          </w:tcPr>
          <w:p w:rsidR="009561C9" w:rsidRPr="00EF692A" w:rsidRDefault="009561C9" w:rsidP="00EE52A8">
            <w:pPr>
              <w:pStyle w:val="ListParagraph"/>
              <w:numPr>
                <w:ilvl w:val="0"/>
                <w:numId w:val="2"/>
              </w:numPr>
              <w:jc w:val="center"/>
              <w:rPr>
                <w:rFonts w:ascii="Gill Sans MT" w:hAnsi="Gill Sans MT"/>
                <w:sz w:val="20"/>
                <w:szCs w:val="20"/>
                <w:lang w:val="en-US"/>
              </w:rPr>
            </w:pPr>
          </w:p>
        </w:tc>
        <w:tc>
          <w:tcPr>
            <w:tcW w:w="4950" w:type="dxa"/>
          </w:tcPr>
          <w:p w:rsidR="009561C9" w:rsidRPr="00125A1E" w:rsidRDefault="00F874BC" w:rsidP="00F874BC">
            <w:pPr>
              <w:rPr>
                <w:sz w:val="20"/>
                <w:szCs w:val="20"/>
                <w:highlight w:val="yellow"/>
                <w:lang w:val="en-US"/>
              </w:rPr>
            </w:pPr>
            <w:r w:rsidRPr="00125A1E">
              <w:rPr>
                <w:sz w:val="20"/>
                <w:szCs w:val="20"/>
                <w:lang w:val="en-US"/>
              </w:rPr>
              <w:t>Arrangements for the evaluation of teachers’ performance should be reviewed to align more closely to relevant sections of the inspection framework and Principals should include unannounced observations within the programme to establish a more accurate and comprehensive indication of the quality of teaching in their schools.</w:t>
            </w:r>
          </w:p>
        </w:tc>
        <w:tc>
          <w:tcPr>
            <w:tcW w:w="7766" w:type="dxa"/>
          </w:tcPr>
          <w:p w:rsidR="001E4457" w:rsidRPr="00125A1E" w:rsidRDefault="001E4457" w:rsidP="001E4457">
            <w:pPr>
              <w:pStyle w:val="ListParagraph"/>
              <w:numPr>
                <w:ilvl w:val="0"/>
                <w:numId w:val="3"/>
              </w:numPr>
              <w:rPr>
                <w:sz w:val="20"/>
                <w:szCs w:val="20"/>
                <w:lang w:val="en-US"/>
              </w:rPr>
            </w:pPr>
            <w:r w:rsidRPr="00125A1E">
              <w:rPr>
                <w:sz w:val="20"/>
                <w:szCs w:val="20"/>
                <w:lang w:val="en-US"/>
              </w:rPr>
              <w:t>The Performance management</w:t>
            </w:r>
            <w:r w:rsidR="00125A1E">
              <w:rPr>
                <w:sz w:val="20"/>
                <w:szCs w:val="20"/>
                <w:lang w:val="en-US"/>
              </w:rPr>
              <w:t xml:space="preserve"> cycle for 2018-2019 is aligned</w:t>
            </w:r>
            <w:r w:rsidRPr="00125A1E">
              <w:rPr>
                <w:sz w:val="20"/>
                <w:szCs w:val="20"/>
                <w:lang w:val="en-US"/>
              </w:rPr>
              <w:t xml:space="preserve"> to the OES Framework and expectations. It is not tokenistic but holds teachers to account in a much more rigorous way. </w:t>
            </w:r>
            <w:r w:rsidR="00BF2236" w:rsidRPr="00125A1E">
              <w:rPr>
                <w:sz w:val="20"/>
                <w:szCs w:val="20"/>
                <w:lang w:val="en-US"/>
              </w:rPr>
              <w:t>Lessons observation</w:t>
            </w:r>
            <w:r w:rsidR="00125A1E">
              <w:rPr>
                <w:sz w:val="20"/>
                <w:szCs w:val="20"/>
                <w:lang w:val="en-US"/>
              </w:rPr>
              <w:t>s announced and unannounced will be implemented</w:t>
            </w:r>
            <w:r w:rsidR="00BB20A4">
              <w:rPr>
                <w:sz w:val="20"/>
                <w:szCs w:val="20"/>
                <w:lang w:val="en-US"/>
              </w:rPr>
              <w:t>;</w:t>
            </w:r>
            <w:r w:rsidR="00BF2236" w:rsidRPr="00125A1E">
              <w:rPr>
                <w:sz w:val="20"/>
                <w:szCs w:val="20"/>
                <w:lang w:val="en-US"/>
              </w:rPr>
              <w:t xml:space="preserve"> walk throughs are in place and will be develop</w:t>
            </w:r>
            <w:r w:rsidR="008643F9">
              <w:rPr>
                <w:sz w:val="20"/>
                <w:szCs w:val="20"/>
                <w:lang w:val="en-US"/>
              </w:rPr>
              <w:t>ed further throughout the year</w:t>
            </w:r>
            <w:r w:rsidR="00BB20A4">
              <w:rPr>
                <w:sz w:val="20"/>
                <w:szCs w:val="20"/>
                <w:lang w:val="en-US"/>
              </w:rPr>
              <w:t>.</w:t>
            </w:r>
          </w:p>
          <w:p w:rsidR="009561C9" w:rsidRPr="00125A1E" w:rsidRDefault="009561C9">
            <w:pPr>
              <w:rPr>
                <w:b/>
                <w:sz w:val="20"/>
                <w:szCs w:val="20"/>
                <w:lang w:val="en-US"/>
              </w:rPr>
            </w:pPr>
          </w:p>
        </w:tc>
      </w:tr>
      <w:tr w:rsidR="00392087" w:rsidRPr="00162D87" w:rsidTr="0008396C">
        <w:tc>
          <w:tcPr>
            <w:tcW w:w="1458" w:type="dxa"/>
          </w:tcPr>
          <w:p w:rsidR="00392087" w:rsidRPr="00EF692A" w:rsidRDefault="00392087" w:rsidP="00EE52A8">
            <w:pPr>
              <w:pStyle w:val="ListParagraph"/>
              <w:numPr>
                <w:ilvl w:val="0"/>
                <w:numId w:val="2"/>
              </w:numPr>
              <w:jc w:val="center"/>
              <w:rPr>
                <w:rFonts w:ascii="Gill Sans MT" w:hAnsi="Gill Sans MT"/>
                <w:sz w:val="20"/>
                <w:szCs w:val="20"/>
                <w:lang w:val="en-US"/>
              </w:rPr>
            </w:pPr>
          </w:p>
        </w:tc>
        <w:tc>
          <w:tcPr>
            <w:tcW w:w="4950" w:type="dxa"/>
          </w:tcPr>
          <w:p w:rsidR="00392087" w:rsidRPr="00125A1E" w:rsidRDefault="00F874BC" w:rsidP="00F874BC">
            <w:pPr>
              <w:rPr>
                <w:sz w:val="20"/>
                <w:szCs w:val="20"/>
                <w:highlight w:val="yellow"/>
                <w:lang w:val="en-US"/>
              </w:rPr>
            </w:pPr>
            <w:r w:rsidRPr="00125A1E">
              <w:rPr>
                <w:sz w:val="20"/>
                <w:szCs w:val="20"/>
                <w:lang w:val="en-US"/>
              </w:rPr>
              <w:t xml:space="preserve">In collaboration with the Ministry of Education and where </w:t>
            </w:r>
            <w:r w:rsidRPr="00125A1E">
              <w:rPr>
                <w:sz w:val="20"/>
                <w:szCs w:val="20"/>
                <w:lang w:val="en-US"/>
              </w:rPr>
              <w:lastRenderedPageBreak/>
              <w:t>relevant, school leaders should review the arrangements for admission to ensure that all students are enrolled in their correct chronological year group</w:t>
            </w:r>
          </w:p>
        </w:tc>
        <w:tc>
          <w:tcPr>
            <w:tcW w:w="7766" w:type="dxa"/>
          </w:tcPr>
          <w:p w:rsidR="00392087" w:rsidRPr="00125A1E" w:rsidRDefault="00125A1E" w:rsidP="00BB20A4">
            <w:pPr>
              <w:pStyle w:val="ListParagraph"/>
              <w:numPr>
                <w:ilvl w:val="0"/>
                <w:numId w:val="3"/>
              </w:numPr>
              <w:rPr>
                <w:b/>
                <w:sz w:val="20"/>
                <w:szCs w:val="20"/>
                <w:lang w:val="en-US"/>
              </w:rPr>
            </w:pPr>
            <w:r>
              <w:rPr>
                <w:sz w:val="20"/>
                <w:szCs w:val="20"/>
                <w:lang w:val="en-US"/>
              </w:rPr>
              <w:lastRenderedPageBreak/>
              <w:t xml:space="preserve">The registration policy and process has been reviewed.  Any anomalies with regards </w:t>
            </w:r>
            <w:r>
              <w:rPr>
                <w:sz w:val="20"/>
                <w:szCs w:val="20"/>
                <w:lang w:val="en-US"/>
              </w:rPr>
              <w:lastRenderedPageBreak/>
              <w:t>to student chronological age and class groupings have been addressed</w:t>
            </w:r>
            <w:r w:rsidR="00BB20A4">
              <w:rPr>
                <w:sz w:val="20"/>
                <w:szCs w:val="20"/>
                <w:lang w:val="en-US"/>
              </w:rPr>
              <w:t>.</w:t>
            </w:r>
            <w:r w:rsidR="00BF2236" w:rsidRPr="00125A1E">
              <w:rPr>
                <w:sz w:val="20"/>
                <w:szCs w:val="20"/>
                <w:lang w:val="en-US"/>
              </w:rPr>
              <w:t xml:space="preserve">  </w:t>
            </w:r>
          </w:p>
        </w:tc>
      </w:tr>
    </w:tbl>
    <w:p w:rsidR="00162D87" w:rsidRPr="00162D87" w:rsidRDefault="00162D87">
      <w:pPr>
        <w:rPr>
          <w:rFonts w:ascii="Gill Sans MT" w:hAnsi="Gill Sans MT"/>
          <w:b/>
          <w:lang w:val="en-US"/>
        </w:rPr>
      </w:pPr>
    </w:p>
    <w:sectPr w:rsidR="00162D87" w:rsidRPr="00162D87" w:rsidSect="00430110">
      <w:headerReference w:type="even" r:id="rId8"/>
      <w:headerReference w:type="default" r:id="rId9"/>
      <w:footerReference w:type="even" r:id="rId10"/>
      <w:footerReference w:type="default" r:id="rId11"/>
      <w:headerReference w:type="first" r:id="rId12"/>
      <w:footerReference w:type="first" r:id="rId13"/>
      <w:pgSz w:w="16838" w:h="11906"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97" w:rsidRDefault="00C80797" w:rsidP="001E4457">
      <w:pPr>
        <w:spacing w:after="0" w:line="240" w:lineRule="auto"/>
      </w:pPr>
      <w:r>
        <w:separator/>
      </w:r>
    </w:p>
  </w:endnote>
  <w:endnote w:type="continuationSeparator" w:id="0">
    <w:p w:rsidR="00C80797" w:rsidRDefault="00C80797" w:rsidP="001E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A8" w:rsidRDefault="00EE5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941091"/>
      <w:docPartObj>
        <w:docPartGallery w:val="Page Numbers (Bottom of Page)"/>
        <w:docPartUnique/>
      </w:docPartObj>
    </w:sdtPr>
    <w:sdtEndPr>
      <w:rPr>
        <w:color w:val="808080" w:themeColor="background1" w:themeShade="80"/>
        <w:spacing w:val="60"/>
      </w:rPr>
    </w:sdtEndPr>
    <w:sdtContent>
      <w:p w:rsidR="001E4457" w:rsidRDefault="001E44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245F" w:rsidRPr="005B245F">
          <w:rPr>
            <w:b/>
            <w:bCs/>
            <w:noProof/>
          </w:rPr>
          <w:t>1</w:t>
        </w:r>
        <w:r>
          <w:rPr>
            <w:b/>
            <w:bCs/>
            <w:noProof/>
          </w:rPr>
          <w:fldChar w:fldCharType="end"/>
        </w:r>
        <w:r>
          <w:rPr>
            <w:b/>
            <w:bCs/>
          </w:rPr>
          <w:t xml:space="preserve"> | </w:t>
        </w:r>
        <w:r>
          <w:rPr>
            <w:color w:val="808080" w:themeColor="background1" w:themeShade="80"/>
            <w:spacing w:val="60"/>
          </w:rPr>
          <w:t>Page</w:t>
        </w:r>
      </w:p>
    </w:sdtContent>
  </w:sdt>
  <w:p w:rsidR="001E4457" w:rsidRDefault="001E4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A8" w:rsidRDefault="00EE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97" w:rsidRDefault="00C80797" w:rsidP="001E4457">
      <w:pPr>
        <w:spacing w:after="0" w:line="240" w:lineRule="auto"/>
      </w:pPr>
      <w:r>
        <w:separator/>
      </w:r>
    </w:p>
  </w:footnote>
  <w:footnote w:type="continuationSeparator" w:id="0">
    <w:p w:rsidR="00C80797" w:rsidRDefault="00C80797" w:rsidP="001E4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A8" w:rsidRDefault="00EE5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A8" w:rsidRDefault="00EE5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A8" w:rsidRDefault="00EE5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FF0"/>
    <w:multiLevelType w:val="hybridMultilevel"/>
    <w:tmpl w:val="FBB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7A80"/>
    <w:multiLevelType w:val="hybridMultilevel"/>
    <w:tmpl w:val="BB58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D10"/>
    <w:multiLevelType w:val="hybridMultilevel"/>
    <w:tmpl w:val="267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A4BA7"/>
    <w:multiLevelType w:val="hybridMultilevel"/>
    <w:tmpl w:val="C1B60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00D1C"/>
    <w:multiLevelType w:val="hybridMultilevel"/>
    <w:tmpl w:val="5B9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A55CF"/>
    <w:multiLevelType w:val="hybridMultilevel"/>
    <w:tmpl w:val="4112C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11765"/>
    <w:multiLevelType w:val="hybridMultilevel"/>
    <w:tmpl w:val="79B0E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A77368"/>
    <w:multiLevelType w:val="hybridMultilevel"/>
    <w:tmpl w:val="3BFCBF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DB0102"/>
    <w:multiLevelType w:val="hybridMultilevel"/>
    <w:tmpl w:val="D60E67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9B3FDA"/>
    <w:multiLevelType w:val="hybridMultilevel"/>
    <w:tmpl w:val="A32AFC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B50FB"/>
    <w:multiLevelType w:val="hybridMultilevel"/>
    <w:tmpl w:val="FAD8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C40E4"/>
    <w:multiLevelType w:val="hybridMultilevel"/>
    <w:tmpl w:val="396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50AB8"/>
    <w:multiLevelType w:val="hybridMultilevel"/>
    <w:tmpl w:val="B73AC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410C8"/>
    <w:multiLevelType w:val="hybridMultilevel"/>
    <w:tmpl w:val="1A58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6"/>
  </w:num>
  <w:num w:numId="6">
    <w:abstractNumId w:val="13"/>
  </w:num>
  <w:num w:numId="7">
    <w:abstractNumId w:val="12"/>
  </w:num>
  <w:num w:numId="8">
    <w:abstractNumId w:val="7"/>
  </w:num>
  <w:num w:numId="9">
    <w:abstractNumId w:val="10"/>
  </w:num>
  <w:num w:numId="10">
    <w:abstractNumId w:val="11"/>
  </w:num>
  <w:num w:numId="11">
    <w:abstractNumId w:val="5"/>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73"/>
    <w:rsid w:val="00016BB8"/>
    <w:rsid w:val="00050B95"/>
    <w:rsid w:val="0008396C"/>
    <w:rsid w:val="00097E9F"/>
    <w:rsid w:val="000C664F"/>
    <w:rsid w:val="00125A1E"/>
    <w:rsid w:val="00162D87"/>
    <w:rsid w:val="00193173"/>
    <w:rsid w:val="001C4598"/>
    <w:rsid w:val="001E4457"/>
    <w:rsid w:val="00386E37"/>
    <w:rsid w:val="00392087"/>
    <w:rsid w:val="004162EC"/>
    <w:rsid w:val="00430110"/>
    <w:rsid w:val="005166E0"/>
    <w:rsid w:val="005B245F"/>
    <w:rsid w:val="00814747"/>
    <w:rsid w:val="008643F9"/>
    <w:rsid w:val="009561C9"/>
    <w:rsid w:val="00987B2D"/>
    <w:rsid w:val="00B540B3"/>
    <w:rsid w:val="00B57D04"/>
    <w:rsid w:val="00BB20A4"/>
    <w:rsid w:val="00BF2236"/>
    <w:rsid w:val="00C05D67"/>
    <w:rsid w:val="00C162EF"/>
    <w:rsid w:val="00C350ED"/>
    <w:rsid w:val="00C80797"/>
    <w:rsid w:val="00D62982"/>
    <w:rsid w:val="00DC2BAD"/>
    <w:rsid w:val="00E63312"/>
    <w:rsid w:val="00E94D27"/>
    <w:rsid w:val="00EE52A8"/>
    <w:rsid w:val="00EF692A"/>
    <w:rsid w:val="00F8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AE15B-3D27-4F88-ADCE-843B0839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7E9F"/>
    <w:pPr>
      <w:ind w:left="720"/>
      <w:contextualSpacing/>
    </w:pPr>
  </w:style>
  <w:style w:type="table" w:styleId="TableGrid">
    <w:name w:val="Table Grid"/>
    <w:basedOn w:val="TableNormal"/>
    <w:uiPriority w:val="59"/>
    <w:rsid w:val="00162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E4457"/>
  </w:style>
  <w:style w:type="paragraph" w:styleId="Header">
    <w:name w:val="header"/>
    <w:basedOn w:val="Normal"/>
    <w:link w:val="HeaderChar"/>
    <w:uiPriority w:val="99"/>
    <w:unhideWhenUsed/>
    <w:rsid w:val="001E4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57"/>
  </w:style>
  <w:style w:type="paragraph" w:styleId="Footer">
    <w:name w:val="footer"/>
    <w:basedOn w:val="Normal"/>
    <w:link w:val="FooterChar"/>
    <w:uiPriority w:val="99"/>
    <w:unhideWhenUsed/>
    <w:rsid w:val="001E4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57"/>
  </w:style>
  <w:style w:type="paragraph" w:styleId="BalloonText">
    <w:name w:val="Balloon Text"/>
    <w:basedOn w:val="Normal"/>
    <w:link w:val="BalloonTextChar"/>
    <w:uiPriority w:val="99"/>
    <w:semiHidden/>
    <w:unhideWhenUsed/>
    <w:rsid w:val="00DC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88EE-3C1F-4F1F-A2D8-12736139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Ian</dc:creator>
  <cp:lastModifiedBy>Nicky Watson</cp:lastModifiedBy>
  <cp:revision>2</cp:revision>
  <cp:lastPrinted>2018-12-21T21:27:00Z</cp:lastPrinted>
  <dcterms:created xsi:type="dcterms:W3CDTF">2018-12-27T13:43:00Z</dcterms:created>
  <dcterms:modified xsi:type="dcterms:W3CDTF">2018-12-27T13:43:00Z</dcterms:modified>
</cp:coreProperties>
</file>